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E363" w14:textId="5BF56855" w:rsidR="001135B6" w:rsidRDefault="00620BDA" w:rsidP="00620BDA">
      <w:pPr>
        <w:jc w:val="center"/>
        <w:rPr>
          <w:rFonts w:ascii="Gill Sans MT" w:eastAsia="Calibri" w:hAnsi="Gill Sans MT" w:cs="Calibri"/>
          <w:color w:val="000000" w:themeColor="text1"/>
        </w:rPr>
      </w:pPr>
      <w:r w:rsidRPr="004F0A1A">
        <w:rPr>
          <w:rFonts w:ascii="Gill Sans MT" w:hAnsi="Gill Sans MT"/>
          <w:noProof/>
        </w:rPr>
        <w:drawing>
          <wp:inline distT="0" distB="0" distL="0" distR="0" wp14:anchorId="70B05E44" wp14:editId="3BFC764D">
            <wp:extent cx="3863211" cy="896264"/>
            <wp:effectExtent l="19050" t="19050" r="23495" b="18415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1135B6" w:rsidRPr="00620BDA">
        <w:rPr>
          <w:rFonts w:ascii="Gill Sans MT" w:hAnsi="Gill Sans MT"/>
        </w:rPr>
        <w:br/>
      </w:r>
    </w:p>
    <w:p w14:paraId="1CDD33FD" w14:textId="77777777" w:rsidR="00620BDA" w:rsidRPr="00620BDA" w:rsidRDefault="00620BDA" w:rsidP="00620BDA">
      <w:pPr>
        <w:jc w:val="center"/>
        <w:rPr>
          <w:rFonts w:ascii="Gill Sans MT" w:eastAsia="Calibri" w:hAnsi="Gill Sans MT" w:cs="Calibri"/>
          <w:color w:val="000000" w:themeColor="text1"/>
        </w:rPr>
      </w:pPr>
    </w:p>
    <w:p w14:paraId="6DF8D63F" w14:textId="62950D6A" w:rsidR="001135B6" w:rsidRDefault="4B3BC400" w:rsidP="00620BDA">
      <w:pPr>
        <w:jc w:val="both"/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</w:pPr>
      <w:r w:rsidRPr="00620BDA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  <w:t xml:space="preserve">GAYE SCULTHORPE, MARIA NUGENT, </w:t>
      </w:r>
      <w:r w:rsidR="00620BDA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  <w:t>AND</w:t>
      </w:r>
      <w:r w:rsidRPr="00620BDA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  <w:t xml:space="preserve"> HOWARD MORPHY</w:t>
      </w:r>
      <w:r w:rsidR="000A7A10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  <w:t xml:space="preserve"> (EDS</w:t>
      </w:r>
      <w:r w:rsidR="00861F47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  <w:t>.</w:t>
      </w:r>
      <w:r w:rsidR="000A7A10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  <w:t>)</w:t>
      </w:r>
      <w:r w:rsidRPr="00620BDA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620BDA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  <w:lang w:val="en-US"/>
        </w:rPr>
        <w:t>ANCESTORS, ARTEFACTS, EMPIRE: INDIGENOUS AU</w:t>
      </w:r>
      <w:r w:rsidR="02EE2D1F" w:rsidRPr="00620BDA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  <w:lang w:val="en-US"/>
        </w:rPr>
        <w:t xml:space="preserve">STRALIA IN BRITISH AND IRISH MUSEUMS. </w:t>
      </w:r>
      <w:r w:rsidR="7028435D" w:rsidRPr="00620BDA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LONDON: BRITISH M</w:t>
      </w:r>
      <w:r w:rsidR="00620BDA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U</w:t>
      </w:r>
      <w:r w:rsidR="7028435D" w:rsidRPr="00620BDA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SE</w:t>
      </w:r>
      <w:r w:rsidR="00620BDA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U</w:t>
      </w:r>
      <w:r w:rsidR="7028435D" w:rsidRPr="00620BDA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M PRESS 2021. 247 P. ISBN: 9780714124902</w:t>
      </w:r>
    </w:p>
    <w:p w14:paraId="0F9B6312" w14:textId="77777777" w:rsidR="00620BDA" w:rsidRPr="00620BDA" w:rsidRDefault="00620BDA" w:rsidP="00620BDA">
      <w:pPr>
        <w:jc w:val="both"/>
        <w:rPr>
          <w:rFonts w:ascii="Gill Sans MT" w:eastAsia="Gill Sans MT" w:hAnsi="Gill Sans MT" w:cs="Gill Sans MT"/>
          <w:color w:val="000000" w:themeColor="text1"/>
          <w:lang w:val="en-US"/>
        </w:rPr>
      </w:pPr>
    </w:p>
    <w:p w14:paraId="0B6A7189" w14:textId="69DC5BB8" w:rsidR="001135B6" w:rsidRPr="00620BDA" w:rsidRDefault="7028435D" w:rsidP="00620BDA">
      <w:pPr>
        <w:jc w:val="center"/>
        <w:rPr>
          <w:rFonts w:ascii="Gill Sans MT" w:hAnsi="Gill Sans MT" w:cs="Times New Roman"/>
          <w:b/>
          <w:bCs/>
        </w:rPr>
      </w:pPr>
      <w:r w:rsidRPr="00620BDA">
        <w:rPr>
          <w:rFonts w:ascii="Gill Sans MT" w:eastAsia="Gill Sans MT" w:hAnsi="Gill Sans MT" w:cs="Gill Sans MT"/>
          <w:sz w:val="28"/>
          <w:szCs w:val="28"/>
          <w:lang w:val="en-US"/>
        </w:rPr>
        <w:t>JACK NORRIS</w:t>
      </w:r>
      <w:r w:rsidR="001135B6" w:rsidRPr="00620BDA">
        <w:rPr>
          <w:rStyle w:val="FootnoteReference"/>
          <w:rFonts w:ascii="Gill Sans MT" w:eastAsia="Gill Sans MT" w:hAnsi="Gill Sans MT" w:cs="Gill Sans MT"/>
          <w:sz w:val="28"/>
          <w:szCs w:val="28"/>
          <w:lang w:val="en-US"/>
        </w:rPr>
        <w:footnoteReference w:id="1"/>
      </w:r>
      <w:r w:rsidR="4B3BC400" w:rsidRPr="00620BDA">
        <w:rPr>
          <w:rFonts w:ascii="Gill Sans MT" w:eastAsia="Gill Sans MT" w:hAnsi="Gill Sans MT" w:cs="Gill Sans MT"/>
          <w:sz w:val="28"/>
          <w:szCs w:val="28"/>
          <w:vertAlign w:val="superscript"/>
          <w:lang w:val="en-US"/>
        </w:rPr>
        <w:t xml:space="preserve"> </w:t>
      </w:r>
    </w:p>
    <w:p w14:paraId="3971C781" w14:textId="77777777" w:rsidR="001135B6" w:rsidRPr="00620BDA" w:rsidRDefault="001135B6" w:rsidP="00620BDA">
      <w:pPr>
        <w:rPr>
          <w:rFonts w:ascii="Gill Sans MT" w:hAnsi="Gill Sans MT" w:cs="Times New Roman"/>
        </w:rPr>
      </w:pPr>
    </w:p>
    <w:p w14:paraId="4F31E878" w14:textId="77777777" w:rsidR="001135B6" w:rsidRPr="00620BDA" w:rsidRDefault="001135B6" w:rsidP="00620BDA">
      <w:pPr>
        <w:rPr>
          <w:rFonts w:ascii="Gill Sans MT" w:hAnsi="Gill Sans MT" w:cs="Times New Roman"/>
        </w:rPr>
      </w:pPr>
    </w:p>
    <w:p w14:paraId="2CE9A7DB" w14:textId="7B398D88" w:rsidR="004E22E6" w:rsidRPr="00620BDA" w:rsidRDefault="005C6F1F" w:rsidP="00620BDA">
      <w:pPr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</w:rPr>
        <w:t>The volume</w:t>
      </w:r>
      <w:r w:rsidR="005B4CCB" w:rsidRPr="00620BDA">
        <w:rPr>
          <w:rFonts w:ascii="Gill Sans MT" w:eastAsia="Gill Sans MT" w:hAnsi="Gill Sans MT" w:cs="Gill Sans MT"/>
        </w:rPr>
        <w:t xml:space="preserve"> </w:t>
      </w:r>
      <w:r w:rsidR="005B4CCB" w:rsidRPr="00620BDA">
        <w:rPr>
          <w:rFonts w:ascii="Gill Sans MT" w:eastAsia="Gill Sans MT" w:hAnsi="Gill Sans MT" w:cs="Gill Sans MT"/>
          <w:i/>
          <w:iCs/>
        </w:rPr>
        <w:t>Ancestors, artefacts, empire: Indigenous Australia in British and Irish museums</w:t>
      </w:r>
      <w:r w:rsidR="005B4CCB" w:rsidRPr="00620BDA">
        <w:rPr>
          <w:rFonts w:ascii="Gill Sans MT" w:eastAsia="Gill Sans MT" w:hAnsi="Gill Sans MT" w:cs="Gill Sans MT"/>
        </w:rPr>
        <w:t>, edited by Gaye Sculthorpe, Maria Nugent</w:t>
      </w:r>
      <w:r w:rsidR="006F4530" w:rsidRPr="00620BDA">
        <w:rPr>
          <w:rFonts w:ascii="Gill Sans MT" w:eastAsia="Gill Sans MT" w:hAnsi="Gill Sans MT" w:cs="Gill Sans MT"/>
        </w:rPr>
        <w:t>,</w:t>
      </w:r>
      <w:r w:rsidR="005B4CCB" w:rsidRPr="00620BDA">
        <w:rPr>
          <w:rFonts w:ascii="Gill Sans MT" w:eastAsia="Gill Sans MT" w:hAnsi="Gill Sans MT" w:cs="Gill Sans MT"/>
        </w:rPr>
        <w:t xml:space="preserve"> and Howard Morphy, explores the vast multitudes of Indigenous Australian (Aboriginal and Torres Strait Islander peoples)</w:t>
      </w:r>
      <w:r w:rsidRPr="00620BDA">
        <w:rPr>
          <w:rFonts w:ascii="Gill Sans MT" w:eastAsia="Gill Sans MT" w:hAnsi="Gill Sans MT" w:cs="Gill Sans MT"/>
        </w:rPr>
        <w:t xml:space="preserve"> collections within Great Britain and Ireland. </w:t>
      </w:r>
    </w:p>
    <w:p w14:paraId="3D6EBC46" w14:textId="6A1762ED" w:rsidR="004E22E6" w:rsidRPr="00620BDA" w:rsidRDefault="00A453DF" w:rsidP="00620BDA">
      <w:pPr>
        <w:ind w:firstLine="720"/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</w:rPr>
        <w:t xml:space="preserve">This book is the fruit of collaboration between researchers in Australia and the United Kingdom over the past decade, involving the British Museum, </w:t>
      </w:r>
      <w:r w:rsidR="29E55A2A" w:rsidRPr="00620BDA">
        <w:rPr>
          <w:rFonts w:ascii="Gill Sans MT" w:eastAsia="Gill Sans MT" w:hAnsi="Gill Sans MT" w:cs="Gill Sans MT"/>
        </w:rPr>
        <w:t xml:space="preserve">the </w:t>
      </w:r>
      <w:r w:rsidRPr="00620BDA">
        <w:rPr>
          <w:rFonts w:ascii="Gill Sans MT" w:eastAsia="Gill Sans MT" w:hAnsi="Gill Sans MT" w:cs="Gill Sans MT"/>
        </w:rPr>
        <w:t xml:space="preserve">National Museum of Australia, and the Australian National University. </w:t>
      </w:r>
      <w:r w:rsidR="004E22E6" w:rsidRPr="00620BDA">
        <w:rPr>
          <w:rFonts w:ascii="Gill Sans MT" w:eastAsia="Gill Sans MT" w:hAnsi="Gill Sans MT" w:cs="Gill Sans MT"/>
        </w:rPr>
        <w:t xml:space="preserve">Through the </w:t>
      </w:r>
      <w:r w:rsidR="004A7230" w:rsidRPr="00620BDA">
        <w:rPr>
          <w:rFonts w:ascii="Gill Sans MT" w:eastAsia="Gill Sans MT" w:hAnsi="Gill Sans MT" w:cs="Gill Sans MT"/>
        </w:rPr>
        <w:t>efforts</w:t>
      </w:r>
      <w:r w:rsidR="006D30DE" w:rsidRPr="00620BDA">
        <w:rPr>
          <w:rFonts w:ascii="Gill Sans MT" w:eastAsia="Gill Sans MT" w:hAnsi="Gill Sans MT" w:cs="Gill Sans MT"/>
        </w:rPr>
        <w:t xml:space="preserve"> of these institutions and others,</w:t>
      </w:r>
      <w:r w:rsidR="004A7230" w:rsidRPr="00620BDA">
        <w:rPr>
          <w:rFonts w:ascii="Gill Sans MT" w:eastAsia="Gill Sans MT" w:hAnsi="Gill Sans MT" w:cs="Gill Sans MT"/>
        </w:rPr>
        <w:t xml:space="preserve"> </w:t>
      </w:r>
      <w:r w:rsidR="003E36DB" w:rsidRPr="00620BDA">
        <w:rPr>
          <w:rFonts w:ascii="Gill Sans MT" w:eastAsia="Gill Sans MT" w:hAnsi="Gill Sans MT" w:cs="Gill Sans MT"/>
        </w:rPr>
        <w:t xml:space="preserve">it is now estimated </w:t>
      </w:r>
      <w:r w:rsidR="004E22E6" w:rsidRPr="00620BDA">
        <w:rPr>
          <w:rFonts w:ascii="Gill Sans MT" w:eastAsia="Gill Sans MT" w:hAnsi="Gill Sans MT" w:cs="Gill Sans MT"/>
        </w:rPr>
        <w:t>there are</w:t>
      </w:r>
      <w:r w:rsidR="003E36DB" w:rsidRPr="00620BDA">
        <w:rPr>
          <w:rFonts w:ascii="Gill Sans MT" w:eastAsia="Gill Sans MT" w:hAnsi="Gill Sans MT" w:cs="Gill Sans MT"/>
        </w:rPr>
        <w:t xml:space="preserve"> </w:t>
      </w:r>
      <w:r w:rsidR="004E22E6" w:rsidRPr="00620BDA">
        <w:rPr>
          <w:rFonts w:ascii="Gill Sans MT" w:eastAsia="Gill Sans MT" w:hAnsi="Gill Sans MT" w:cs="Gill Sans MT"/>
        </w:rPr>
        <w:t xml:space="preserve">over 39,000 items of Indigenous Australian cultural belongings </w:t>
      </w:r>
      <w:r w:rsidR="002930FA" w:rsidRPr="00620BDA">
        <w:rPr>
          <w:rFonts w:ascii="Gill Sans MT" w:eastAsia="Gill Sans MT" w:hAnsi="Gill Sans MT" w:cs="Gill Sans MT"/>
        </w:rPr>
        <w:t xml:space="preserve">and Ancestral property </w:t>
      </w:r>
      <w:r w:rsidR="004E22E6" w:rsidRPr="00620BDA">
        <w:rPr>
          <w:rFonts w:ascii="Gill Sans MT" w:eastAsia="Gill Sans MT" w:hAnsi="Gill Sans MT" w:cs="Gill Sans MT"/>
        </w:rPr>
        <w:t xml:space="preserve">scattered throughout British and Irish collecting institutions, such as museums, botanic </w:t>
      </w:r>
      <w:r w:rsidR="006C1F9B" w:rsidRPr="00620BDA">
        <w:rPr>
          <w:rFonts w:ascii="Gill Sans MT" w:eastAsia="Gill Sans MT" w:hAnsi="Gill Sans MT" w:cs="Gill Sans MT"/>
        </w:rPr>
        <w:t>gardens,</w:t>
      </w:r>
      <w:r w:rsidR="004E22E6" w:rsidRPr="00620BDA">
        <w:rPr>
          <w:rFonts w:ascii="Gill Sans MT" w:eastAsia="Gill Sans MT" w:hAnsi="Gill Sans MT" w:cs="Gill Sans MT"/>
        </w:rPr>
        <w:t xml:space="preserve"> and scientific societies. Many of these collections were amassed </w:t>
      </w:r>
      <w:r w:rsidR="3EA031D1" w:rsidRPr="00620BDA">
        <w:rPr>
          <w:rFonts w:ascii="Gill Sans MT" w:eastAsia="Gill Sans MT" w:hAnsi="Gill Sans MT" w:cs="Gill Sans MT"/>
        </w:rPr>
        <w:t>between</w:t>
      </w:r>
      <w:r w:rsidR="004E22E6" w:rsidRPr="00620BDA">
        <w:rPr>
          <w:rFonts w:ascii="Gill Sans MT" w:eastAsia="Gill Sans MT" w:hAnsi="Gill Sans MT" w:cs="Gill Sans MT"/>
        </w:rPr>
        <w:t xml:space="preserve"> the late eighteenth </w:t>
      </w:r>
      <w:r w:rsidR="00621EAF" w:rsidRPr="00620BDA">
        <w:rPr>
          <w:rFonts w:ascii="Gill Sans MT" w:eastAsia="Gill Sans MT" w:hAnsi="Gill Sans MT" w:cs="Gill Sans MT"/>
        </w:rPr>
        <w:t xml:space="preserve">to </w:t>
      </w:r>
      <w:r w:rsidR="006D30DE" w:rsidRPr="00620BDA">
        <w:rPr>
          <w:rFonts w:ascii="Gill Sans MT" w:eastAsia="Gill Sans MT" w:hAnsi="Gill Sans MT" w:cs="Gill Sans MT"/>
        </w:rPr>
        <w:t>the</w:t>
      </w:r>
      <w:r w:rsidR="00A94854" w:rsidRPr="00620BDA">
        <w:rPr>
          <w:rFonts w:ascii="Gill Sans MT" w:eastAsia="Gill Sans MT" w:hAnsi="Gill Sans MT" w:cs="Gill Sans MT"/>
        </w:rPr>
        <w:t xml:space="preserve"> </w:t>
      </w:r>
      <w:r w:rsidR="006D30DE" w:rsidRPr="00620BDA">
        <w:rPr>
          <w:rFonts w:ascii="Gill Sans MT" w:eastAsia="Gill Sans MT" w:hAnsi="Gill Sans MT" w:cs="Gill Sans MT"/>
        </w:rPr>
        <w:t>mid</w:t>
      </w:r>
      <w:r w:rsidR="00A94854" w:rsidRPr="00620BDA">
        <w:rPr>
          <w:rFonts w:ascii="Gill Sans MT" w:eastAsia="Gill Sans MT" w:hAnsi="Gill Sans MT" w:cs="Gill Sans MT"/>
        </w:rPr>
        <w:t>-</w:t>
      </w:r>
      <w:r w:rsidR="00621EAF" w:rsidRPr="00620BDA">
        <w:rPr>
          <w:rFonts w:ascii="Gill Sans MT" w:eastAsia="Gill Sans MT" w:hAnsi="Gill Sans MT" w:cs="Gill Sans MT"/>
        </w:rPr>
        <w:t xml:space="preserve">twentieth </w:t>
      </w:r>
      <w:r w:rsidR="1D4B71D8" w:rsidRPr="00620BDA">
        <w:rPr>
          <w:rFonts w:ascii="Gill Sans MT" w:eastAsia="Gill Sans MT" w:hAnsi="Gill Sans MT" w:cs="Gill Sans MT"/>
        </w:rPr>
        <w:t xml:space="preserve">centuries and are </w:t>
      </w:r>
      <w:r w:rsidR="00621EAF" w:rsidRPr="00620BDA">
        <w:rPr>
          <w:rFonts w:ascii="Gill Sans MT" w:eastAsia="Gill Sans MT" w:hAnsi="Gill Sans MT" w:cs="Gill Sans MT"/>
        </w:rPr>
        <w:t xml:space="preserve">the result of </w:t>
      </w:r>
      <w:r w:rsidR="004E22E6" w:rsidRPr="00620BDA">
        <w:rPr>
          <w:rFonts w:ascii="Gill Sans MT" w:eastAsia="Gill Sans MT" w:hAnsi="Gill Sans MT" w:cs="Gill Sans MT"/>
        </w:rPr>
        <w:t xml:space="preserve">Britain’s imperial presence and colonial expansion within </w:t>
      </w:r>
      <w:r w:rsidR="00621EAF" w:rsidRPr="00620BDA">
        <w:rPr>
          <w:rFonts w:ascii="Gill Sans MT" w:eastAsia="Gill Sans MT" w:hAnsi="Gill Sans MT" w:cs="Gill Sans MT"/>
        </w:rPr>
        <w:t xml:space="preserve">Australia. </w:t>
      </w:r>
    </w:p>
    <w:p w14:paraId="75413FD0" w14:textId="605B4FE7" w:rsidR="00F257AC" w:rsidRPr="00620BDA" w:rsidRDefault="00A453DF" w:rsidP="00620BDA">
      <w:pPr>
        <w:ind w:firstLine="720"/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</w:rPr>
        <w:t>Along with the book’s editors, the volume's chapters are written by 19 other contributors, consisting of Indigenous research fellows and</w:t>
      </w:r>
      <w:r w:rsidR="00344BCA" w:rsidRPr="00620BDA">
        <w:rPr>
          <w:rFonts w:ascii="Gill Sans MT" w:eastAsia="Gill Sans MT" w:hAnsi="Gill Sans MT" w:cs="Gill Sans MT"/>
        </w:rPr>
        <w:t xml:space="preserve"> </w:t>
      </w:r>
      <w:r w:rsidRPr="00620BDA">
        <w:rPr>
          <w:rFonts w:ascii="Gill Sans MT" w:eastAsia="Gill Sans MT" w:hAnsi="Gill Sans MT" w:cs="Gill Sans MT"/>
        </w:rPr>
        <w:t xml:space="preserve">knowledge holders, curators, anthropologists, and historians.  </w:t>
      </w:r>
      <w:r w:rsidR="00F257AC" w:rsidRPr="00620BDA">
        <w:rPr>
          <w:rFonts w:ascii="Gill Sans MT" w:eastAsia="Gill Sans MT" w:hAnsi="Gill Sans MT" w:cs="Gill Sans MT"/>
          <w:i/>
          <w:iCs/>
        </w:rPr>
        <w:t xml:space="preserve">Ancestors, artefacts, empire </w:t>
      </w:r>
      <w:r w:rsidR="00F257AC" w:rsidRPr="00620BDA">
        <w:rPr>
          <w:rFonts w:ascii="Gill Sans MT" w:eastAsia="Gill Sans MT" w:hAnsi="Gill Sans MT" w:cs="Gill Sans MT"/>
        </w:rPr>
        <w:t>is a major contribution to the field of Australian history</w:t>
      </w:r>
      <w:r w:rsidR="001F57C1" w:rsidRPr="00620BDA">
        <w:rPr>
          <w:rFonts w:ascii="Gill Sans MT" w:eastAsia="Gill Sans MT" w:hAnsi="Gill Sans MT" w:cs="Gill Sans MT"/>
        </w:rPr>
        <w:t xml:space="preserve"> and</w:t>
      </w:r>
      <w:r w:rsidR="00F257AC" w:rsidRPr="00620BDA">
        <w:rPr>
          <w:rFonts w:ascii="Gill Sans MT" w:eastAsia="Gill Sans MT" w:hAnsi="Gill Sans MT" w:cs="Gill Sans MT"/>
        </w:rPr>
        <w:t xml:space="preserve"> First Nations histories, as well as </w:t>
      </w:r>
      <w:r w:rsidR="00681592" w:rsidRPr="00620BDA">
        <w:rPr>
          <w:rFonts w:ascii="Gill Sans MT" w:eastAsia="Gill Sans MT" w:hAnsi="Gill Sans MT" w:cs="Gill Sans MT"/>
        </w:rPr>
        <w:t>collection histories, museum anthropology</w:t>
      </w:r>
      <w:r w:rsidR="006D30DE" w:rsidRPr="00620BDA">
        <w:rPr>
          <w:rFonts w:ascii="Gill Sans MT" w:eastAsia="Gill Sans MT" w:hAnsi="Gill Sans MT" w:cs="Gill Sans MT"/>
        </w:rPr>
        <w:t>,</w:t>
      </w:r>
      <w:r w:rsidR="00681592" w:rsidRPr="00620BDA">
        <w:rPr>
          <w:rFonts w:ascii="Gill Sans MT" w:eastAsia="Gill Sans MT" w:hAnsi="Gill Sans MT" w:cs="Gill Sans MT"/>
        </w:rPr>
        <w:t xml:space="preserve"> and </w:t>
      </w:r>
      <w:r w:rsidR="006D30DE" w:rsidRPr="00620BDA">
        <w:rPr>
          <w:rFonts w:ascii="Gill Sans MT" w:eastAsia="Gill Sans MT" w:hAnsi="Gill Sans MT" w:cs="Gill Sans MT"/>
        </w:rPr>
        <w:t xml:space="preserve">museum </w:t>
      </w:r>
      <w:r w:rsidR="00681592" w:rsidRPr="00620BDA">
        <w:rPr>
          <w:rFonts w:ascii="Gill Sans MT" w:eastAsia="Gill Sans MT" w:hAnsi="Gill Sans MT" w:cs="Gill Sans MT"/>
        </w:rPr>
        <w:t>practice.</w:t>
      </w:r>
      <w:r w:rsidR="00F257AC" w:rsidRPr="00620BDA">
        <w:rPr>
          <w:rFonts w:ascii="Gill Sans MT" w:eastAsia="Gill Sans MT" w:hAnsi="Gill Sans MT" w:cs="Gill Sans MT"/>
        </w:rPr>
        <w:t xml:space="preserve"> The overall aim of the book, as noted by the editors, is ‘threefold: to share knowledge about dispersed objects and collections; to offer interpretations that draw those scattered objects together as a whole; and to contribute to processes of reconnection and relationship-building between British and Irish institutions and Indigenous Australian Communities</w:t>
      </w:r>
      <w:r w:rsidR="481825C7" w:rsidRPr="00620BDA">
        <w:rPr>
          <w:rFonts w:ascii="Gill Sans MT" w:eastAsia="Gill Sans MT" w:hAnsi="Gill Sans MT" w:cs="Gill Sans MT"/>
        </w:rPr>
        <w:t>’ (16-17)</w:t>
      </w:r>
      <w:r w:rsidR="00F257AC" w:rsidRPr="00620BDA">
        <w:rPr>
          <w:rFonts w:ascii="Gill Sans MT" w:eastAsia="Gill Sans MT" w:hAnsi="Gill Sans MT" w:cs="Gill Sans MT"/>
        </w:rPr>
        <w:t xml:space="preserve">.  </w:t>
      </w:r>
    </w:p>
    <w:p w14:paraId="6BAE8ED8" w14:textId="6CE5BB6E" w:rsidR="002C49D0" w:rsidRPr="00620BDA" w:rsidRDefault="00F257AC" w:rsidP="00620BDA">
      <w:pPr>
        <w:ind w:firstLine="720"/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</w:rPr>
        <w:t>The b</w:t>
      </w:r>
      <w:r w:rsidR="009268DD" w:rsidRPr="00620BDA">
        <w:rPr>
          <w:rFonts w:ascii="Gill Sans MT" w:eastAsia="Gill Sans MT" w:hAnsi="Gill Sans MT" w:cs="Gill Sans MT"/>
        </w:rPr>
        <w:t xml:space="preserve">ook is </w:t>
      </w:r>
      <w:r w:rsidR="00441C3C" w:rsidRPr="00620BDA">
        <w:rPr>
          <w:rFonts w:ascii="Gill Sans MT" w:eastAsia="Gill Sans MT" w:hAnsi="Gill Sans MT" w:cs="Gill Sans MT"/>
        </w:rPr>
        <w:t xml:space="preserve">structured </w:t>
      </w:r>
      <w:r w:rsidR="009268DD" w:rsidRPr="00620BDA">
        <w:rPr>
          <w:rFonts w:ascii="Gill Sans MT" w:eastAsia="Gill Sans MT" w:hAnsi="Gill Sans MT" w:cs="Gill Sans MT"/>
        </w:rPr>
        <w:t>in five parts, Part 1: Encountering Objects; Part 2: Moving Objects; Part 3: Telling Objects; Part 4: Unsettling Objects; and Part 5</w:t>
      </w:r>
      <w:r w:rsidR="009D6423">
        <w:rPr>
          <w:rFonts w:ascii="Gill Sans MT" w:eastAsia="Gill Sans MT" w:hAnsi="Gill Sans MT" w:cs="Gill Sans MT"/>
        </w:rPr>
        <w:t>:</w:t>
      </w:r>
      <w:r w:rsidR="009268DD" w:rsidRPr="00620BDA">
        <w:rPr>
          <w:rFonts w:ascii="Gill Sans MT" w:eastAsia="Gill Sans MT" w:hAnsi="Gill Sans MT" w:cs="Gill Sans MT"/>
        </w:rPr>
        <w:t xml:space="preserve"> Performing Objects. Each section, set out with multiple chapters, examines various aspects of museum practice and collection histories surrounding </w:t>
      </w:r>
      <w:r w:rsidR="002C49D0" w:rsidRPr="00620BDA">
        <w:rPr>
          <w:rFonts w:ascii="Gill Sans MT" w:eastAsia="Gill Sans MT" w:hAnsi="Gill Sans MT" w:cs="Gill Sans MT"/>
        </w:rPr>
        <w:t>diverse</w:t>
      </w:r>
      <w:r w:rsidR="009268DD" w:rsidRPr="00620BDA">
        <w:rPr>
          <w:rFonts w:ascii="Gill Sans MT" w:eastAsia="Gill Sans MT" w:hAnsi="Gill Sans MT" w:cs="Gill Sans MT"/>
        </w:rPr>
        <w:t xml:space="preserve"> objects, collections, or time periods and geographical regions within Australia</w:t>
      </w:r>
      <w:r w:rsidR="7A741052" w:rsidRPr="00620BDA">
        <w:rPr>
          <w:rFonts w:ascii="Gill Sans MT" w:eastAsia="Gill Sans MT" w:hAnsi="Gill Sans MT" w:cs="Gill Sans MT"/>
        </w:rPr>
        <w:t>, s</w:t>
      </w:r>
      <w:r w:rsidR="009268DD" w:rsidRPr="00620BDA">
        <w:rPr>
          <w:rFonts w:ascii="Gill Sans MT" w:eastAsia="Gill Sans MT" w:hAnsi="Gill Sans MT" w:cs="Gill Sans MT"/>
        </w:rPr>
        <w:t>uch as chapter 1</w:t>
      </w:r>
      <w:r w:rsidR="002C49D0" w:rsidRPr="00620BDA">
        <w:rPr>
          <w:rFonts w:ascii="Gill Sans MT" w:eastAsia="Gill Sans MT" w:hAnsi="Gill Sans MT" w:cs="Gill Sans MT"/>
        </w:rPr>
        <w:t>8</w:t>
      </w:r>
      <w:r w:rsidR="001D7286" w:rsidRPr="00620BDA">
        <w:rPr>
          <w:rFonts w:ascii="Gill Sans MT" w:eastAsia="Gill Sans MT" w:hAnsi="Gill Sans MT" w:cs="Gill Sans MT"/>
        </w:rPr>
        <w:t>,</w:t>
      </w:r>
      <w:r w:rsidR="002C49D0" w:rsidRPr="00620BDA">
        <w:rPr>
          <w:rFonts w:ascii="Gill Sans MT" w:eastAsia="Gill Sans MT" w:hAnsi="Gill Sans MT" w:cs="Gill Sans MT"/>
        </w:rPr>
        <w:t xml:space="preserve"> </w:t>
      </w:r>
      <w:r w:rsidR="002C49D0" w:rsidRPr="00620BDA">
        <w:rPr>
          <w:rFonts w:ascii="Gill Sans MT" w:eastAsia="Gill Sans MT" w:hAnsi="Gill Sans MT" w:cs="Gill Sans MT"/>
          <w:i/>
          <w:iCs/>
        </w:rPr>
        <w:t>Rough justice on the Kimberley Frontier</w:t>
      </w:r>
      <w:r w:rsidR="002C49D0" w:rsidRPr="00620BDA">
        <w:rPr>
          <w:rFonts w:ascii="Gill Sans MT" w:eastAsia="Gill Sans MT" w:hAnsi="Gill Sans MT" w:cs="Gill Sans MT"/>
        </w:rPr>
        <w:t xml:space="preserve"> by Ian Coates with Peter Yui; </w:t>
      </w:r>
      <w:r w:rsidR="009268DD" w:rsidRPr="00620BDA">
        <w:rPr>
          <w:rFonts w:ascii="Gill Sans MT" w:eastAsia="Gill Sans MT" w:hAnsi="Gill Sans MT" w:cs="Gill Sans MT"/>
        </w:rPr>
        <w:t>or chapter 20</w:t>
      </w:r>
      <w:r w:rsidR="001D7286" w:rsidRPr="00620BDA">
        <w:rPr>
          <w:rFonts w:ascii="Gill Sans MT" w:eastAsia="Gill Sans MT" w:hAnsi="Gill Sans MT" w:cs="Gill Sans MT"/>
        </w:rPr>
        <w:t>,</w:t>
      </w:r>
      <w:r w:rsidR="009268DD" w:rsidRPr="00620BDA">
        <w:rPr>
          <w:rFonts w:ascii="Gill Sans MT" w:eastAsia="Gill Sans MT" w:hAnsi="Gill Sans MT" w:cs="Gill Sans MT"/>
        </w:rPr>
        <w:t xml:space="preserve"> </w:t>
      </w:r>
      <w:r w:rsidR="009268DD" w:rsidRPr="00620BDA">
        <w:rPr>
          <w:rFonts w:ascii="Gill Sans MT" w:eastAsia="Gill Sans MT" w:hAnsi="Gill Sans MT" w:cs="Gill Sans MT"/>
          <w:i/>
          <w:iCs/>
        </w:rPr>
        <w:t xml:space="preserve">Slow awakenings: institutional engagements with Indigenous art </w:t>
      </w:r>
      <w:r w:rsidR="009268DD" w:rsidRPr="00620BDA">
        <w:rPr>
          <w:rFonts w:ascii="Gill Sans MT" w:eastAsia="Gill Sans MT" w:hAnsi="Gill Sans MT" w:cs="Gill Sans MT"/>
        </w:rPr>
        <w:t xml:space="preserve">by Howard Morphy and Gaye Sculthorpe. </w:t>
      </w:r>
    </w:p>
    <w:p w14:paraId="42383D36" w14:textId="484A7271" w:rsidR="009268DD" w:rsidRPr="00620BDA" w:rsidRDefault="009268DD" w:rsidP="00620BDA">
      <w:pPr>
        <w:ind w:firstLine="720"/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</w:rPr>
        <w:t xml:space="preserve">Along with its extensive chapters, </w:t>
      </w:r>
      <w:r w:rsidRPr="00620BDA">
        <w:rPr>
          <w:rFonts w:ascii="Gill Sans MT" w:eastAsia="Gill Sans MT" w:hAnsi="Gill Sans MT" w:cs="Gill Sans MT"/>
          <w:i/>
          <w:iCs/>
        </w:rPr>
        <w:t>Ancestors, artefacts, empire</w:t>
      </w:r>
      <w:r w:rsidRPr="00620BDA">
        <w:rPr>
          <w:rFonts w:ascii="Gill Sans MT" w:eastAsia="Gill Sans MT" w:hAnsi="Gill Sans MT" w:cs="Gill Sans MT"/>
        </w:rPr>
        <w:t xml:space="preserve"> also has three </w:t>
      </w:r>
      <w:r w:rsidR="002C49D0" w:rsidRPr="00620BDA">
        <w:rPr>
          <w:rFonts w:ascii="Gill Sans MT" w:eastAsia="Gill Sans MT" w:hAnsi="Gill Sans MT" w:cs="Gill Sans MT"/>
        </w:rPr>
        <w:t>appendices:</w:t>
      </w:r>
      <w:r w:rsidRPr="00620BDA">
        <w:rPr>
          <w:rFonts w:ascii="Gill Sans MT" w:eastAsia="Gill Sans MT" w:hAnsi="Gill Sans MT" w:cs="Gill Sans MT"/>
        </w:rPr>
        <w:t xml:space="preserve"> 1. Museums with Aboriginal and Torres Strait Islander Collections; 2. Finding </w:t>
      </w:r>
      <w:r w:rsidR="009D6423">
        <w:rPr>
          <w:rFonts w:ascii="Gill Sans MT" w:eastAsia="Gill Sans MT" w:hAnsi="Gill Sans MT" w:cs="Gill Sans MT"/>
        </w:rPr>
        <w:t>G</w:t>
      </w:r>
      <w:r w:rsidRPr="00620BDA">
        <w:rPr>
          <w:rFonts w:ascii="Gill Sans MT" w:eastAsia="Gill Sans MT" w:hAnsi="Gill Sans MT" w:cs="Gill Sans MT"/>
        </w:rPr>
        <w:t xml:space="preserve">uide to </w:t>
      </w:r>
      <w:r w:rsidR="009D6423">
        <w:rPr>
          <w:rFonts w:ascii="Gill Sans MT" w:eastAsia="Gill Sans MT" w:hAnsi="Gill Sans MT" w:cs="Gill Sans MT"/>
        </w:rPr>
        <w:t>C</w:t>
      </w:r>
      <w:r w:rsidRPr="00620BDA">
        <w:rPr>
          <w:rFonts w:ascii="Gill Sans MT" w:eastAsia="Gill Sans MT" w:hAnsi="Gill Sans MT" w:cs="Gill Sans MT"/>
        </w:rPr>
        <w:t>ollections</w:t>
      </w:r>
      <w:r w:rsidR="002C49D0" w:rsidRPr="00620BDA">
        <w:rPr>
          <w:rFonts w:ascii="Gill Sans MT" w:eastAsia="Gill Sans MT" w:hAnsi="Gill Sans MT" w:cs="Gill Sans MT"/>
        </w:rPr>
        <w:t>; and</w:t>
      </w:r>
      <w:r w:rsidRPr="00620BDA">
        <w:rPr>
          <w:rFonts w:ascii="Gill Sans MT" w:eastAsia="Gill Sans MT" w:hAnsi="Gill Sans MT" w:cs="Gill Sans MT"/>
        </w:rPr>
        <w:t xml:space="preserve"> 3. Researching Collections. These appendices are an important contribution </w:t>
      </w:r>
      <w:r w:rsidRPr="00620BDA">
        <w:rPr>
          <w:rFonts w:ascii="Gill Sans MT" w:eastAsia="Gill Sans MT" w:hAnsi="Gill Sans MT" w:cs="Gill Sans MT"/>
        </w:rPr>
        <w:lastRenderedPageBreak/>
        <w:t>to the book</w:t>
      </w:r>
      <w:r w:rsidR="003017DA" w:rsidRPr="00620BDA">
        <w:rPr>
          <w:rFonts w:ascii="Gill Sans MT" w:eastAsia="Gill Sans MT" w:hAnsi="Gill Sans MT" w:cs="Gill Sans MT"/>
        </w:rPr>
        <w:t xml:space="preserve">, for </w:t>
      </w:r>
      <w:r w:rsidR="00CB3FC6" w:rsidRPr="00620BDA">
        <w:rPr>
          <w:rFonts w:ascii="Gill Sans MT" w:eastAsia="Gill Sans MT" w:hAnsi="Gill Sans MT" w:cs="Gill Sans MT"/>
        </w:rPr>
        <w:t>as the editors</w:t>
      </w:r>
      <w:r w:rsidR="00240EE3" w:rsidRPr="00620BDA">
        <w:rPr>
          <w:rFonts w:ascii="Gill Sans MT" w:eastAsia="Gill Sans MT" w:hAnsi="Gill Sans MT" w:cs="Gill Sans MT"/>
        </w:rPr>
        <w:t xml:space="preserve"> </w:t>
      </w:r>
      <w:r w:rsidR="00362110" w:rsidRPr="00620BDA">
        <w:rPr>
          <w:rFonts w:ascii="Gill Sans MT" w:eastAsia="Gill Sans MT" w:hAnsi="Gill Sans MT" w:cs="Gill Sans MT"/>
        </w:rPr>
        <w:t>state</w:t>
      </w:r>
      <w:r w:rsidR="009D6423">
        <w:rPr>
          <w:rFonts w:ascii="Gill Sans MT" w:eastAsia="Gill Sans MT" w:hAnsi="Gill Sans MT" w:cs="Gill Sans MT"/>
        </w:rPr>
        <w:t>,</w:t>
      </w:r>
      <w:r w:rsidR="24B462C3" w:rsidRPr="00620BDA">
        <w:rPr>
          <w:rFonts w:ascii="Gill Sans MT" w:eastAsia="Gill Sans MT" w:hAnsi="Gill Sans MT" w:cs="Gill Sans MT"/>
        </w:rPr>
        <w:t xml:space="preserve"> </w:t>
      </w:r>
      <w:r w:rsidR="003017DA" w:rsidRPr="00620BDA">
        <w:rPr>
          <w:rFonts w:ascii="Gill Sans MT" w:eastAsia="Gill Sans MT" w:hAnsi="Gill Sans MT" w:cs="Gill Sans MT"/>
        </w:rPr>
        <w:t xml:space="preserve">the book is ‘more [of] a beginning than </w:t>
      </w:r>
      <w:r w:rsidR="00DA5D1F" w:rsidRPr="00620BDA">
        <w:rPr>
          <w:rFonts w:ascii="Gill Sans MT" w:eastAsia="Gill Sans MT" w:hAnsi="Gill Sans MT" w:cs="Gill Sans MT"/>
        </w:rPr>
        <w:t xml:space="preserve">[an] </w:t>
      </w:r>
      <w:r w:rsidR="003017DA" w:rsidRPr="00620BDA">
        <w:rPr>
          <w:rFonts w:ascii="Gill Sans MT" w:eastAsia="Gill Sans MT" w:hAnsi="Gill Sans MT" w:cs="Gill Sans MT"/>
        </w:rPr>
        <w:t>ending</w:t>
      </w:r>
      <w:r w:rsidR="001D7286" w:rsidRPr="00620BDA">
        <w:rPr>
          <w:rFonts w:ascii="Gill Sans MT" w:eastAsia="Gill Sans MT" w:hAnsi="Gill Sans MT" w:cs="Gill Sans MT"/>
        </w:rPr>
        <w:t>’</w:t>
      </w:r>
      <w:r w:rsidR="28313056" w:rsidRPr="00620BDA">
        <w:rPr>
          <w:rFonts w:ascii="Gill Sans MT" w:eastAsia="Gill Sans MT" w:hAnsi="Gill Sans MT" w:cs="Gill Sans MT"/>
        </w:rPr>
        <w:t xml:space="preserve"> (34)</w:t>
      </w:r>
      <w:r w:rsidR="00441C3C" w:rsidRPr="00620BDA">
        <w:rPr>
          <w:rFonts w:ascii="Gill Sans MT" w:eastAsia="Gill Sans MT" w:hAnsi="Gill Sans MT" w:cs="Gill Sans MT"/>
        </w:rPr>
        <w:t xml:space="preserve">, </w:t>
      </w:r>
      <w:r w:rsidR="00362110" w:rsidRPr="00620BDA">
        <w:rPr>
          <w:rFonts w:ascii="Gill Sans MT" w:eastAsia="Gill Sans MT" w:hAnsi="Gill Sans MT" w:cs="Gill Sans MT"/>
        </w:rPr>
        <w:t xml:space="preserve">a tool which allows </w:t>
      </w:r>
      <w:r w:rsidR="00240EE3" w:rsidRPr="00620BDA">
        <w:rPr>
          <w:rFonts w:ascii="Gill Sans MT" w:eastAsia="Gill Sans MT" w:hAnsi="Gill Sans MT" w:cs="Gill Sans MT"/>
        </w:rPr>
        <w:t>these collections in the United Kingdom and Ireland to be better known</w:t>
      </w:r>
      <w:r w:rsidR="001D7286" w:rsidRPr="00620BDA">
        <w:rPr>
          <w:rFonts w:ascii="Gill Sans MT" w:eastAsia="Gill Sans MT" w:hAnsi="Gill Sans MT" w:cs="Gill Sans MT"/>
        </w:rPr>
        <w:t xml:space="preserve">. </w:t>
      </w:r>
      <w:r w:rsidR="001F57C1" w:rsidRPr="00620BDA">
        <w:rPr>
          <w:rFonts w:ascii="Gill Sans MT" w:eastAsia="Gill Sans MT" w:hAnsi="Gill Sans MT" w:cs="Gill Sans MT"/>
        </w:rPr>
        <w:t xml:space="preserve">Therefore, the appendices are </w:t>
      </w:r>
      <w:r w:rsidR="00C973EF" w:rsidRPr="00620BDA">
        <w:rPr>
          <w:rFonts w:ascii="Gill Sans MT" w:eastAsia="Gill Sans MT" w:hAnsi="Gill Sans MT" w:cs="Gill Sans MT"/>
        </w:rPr>
        <w:t xml:space="preserve">a valuable </w:t>
      </w:r>
      <w:r w:rsidR="001F57C1" w:rsidRPr="00620BDA">
        <w:rPr>
          <w:rFonts w:ascii="Gill Sans MT" w:eastAsia="Gill Sans MT" w:hAnsi="Gill Sans MT" w:cs="Gill Sans MT"/>
        </w:rPr>
        <w:t xml:space="preserve">guide to researchers, </w:t>
      </w:r>
      <w:r w:rsidR="0C36C782" w:rsidRPr="00620BDA">
        <w:rPr>
          <w:rFonts w:ascii="Gill Sans MT" w:eastAsia="Gill Sans MT" w:hAnsi="Gill Sans MT" w:cs="Gill Sans MT"/>
        </w:rPr>
        <w:t xml:space="preserve">as well as to, </w:t>
      </w:r>
      <w:r w:rsidR="00240EE3" w:rsidRPr="00620BDA">
        <w:rPr>
          <w:rFonts w:ascii="Gill Sans MT" w:eastAsia="Gill Sans MT" w:hAnsi="Gill Sans MT" w:cs="Gill Sans MT"/>
        </w:rPr>
        <w:t>more importantly</w:t>
      </w:r>
      <w:r w:rsidR="21A56494" w:rsidRPr="00620BDA">
        <w:rPr>
          <w:rFonts w:ascii="Gill Sans MT" w:eastAsia="Gill Sans MT" w:hAnsi="Gill Sans MT" w:cs="Gill Sans MT"/>
        </w:rPr>
        <w:t>,</w:t>
      </w:r>
      <w:r w:rsidR="00240EE3" w:rsidRPr="00620BDA">
        <w:rPr>
          <w:rFonts w:ascii="Gill Sans MT" w:eastAsia="Gill Sans MT" w:hAnsi="Gill Sans MT" w:cs="Gill Sans MT"/>
        </w:rPr>
        <w:t xml:space="preserve"> the descendants of the communities and peoples </w:t>
      </w:r>
      <w:r w:rsidR="5859CA54" w:rsidRPr="00620BDA">
        <w:rPr>
          <w:rFonts w:ascii="Gill Sans MT" w:eastAsia="Gill Sans MT" w:hAnsi="Gill Sans MT" w:cs="Gill Sans MT"/>
        </w:rPr>
        <w:t xml:space="preserve">from which </w:t>
      </w:r>
      <w:r w:rsidR="00240EE3" w:rsidRPr="00620BDA">
        <w:rPr>
          <w:rFonts w:ascii="Gill Sans MT" w:eastAsia="Gill Sans MT" w:hAnsi="Gill Sans MT" w:cs="Gill Sans MT"/>
        </w:rPr>
        <w:t>these collections derive</w:t>
      </w:r>
      <w:r w:rsidR="00C32253" w:rsidRPr="00620BDA">
        <w:rPr>
          <w:rFonts w:ascii="Gill Sans MT" w:eastAsia="Gill Sans MT" w:hAnsi="Gill Sans MT" w:cs="Gill Sans MT"/>
        </w:rPr>
        <w:t>.</w:t>
      </w:r>
      <w:r w:rsidR="00DD0B69" w:rsidRPr="00620BDA">
        <w:rPr>
          <w:rFonts w:ascii="Gill Sans MT" w:eastAsia="Gill Sans MT" w:hAnsi="Gill Sans MT" w:cs="Gill Sans MT"/>
        </w:rPr>
        <w:t xml:space="preserve"> </w:t>
      </w:r>
      <w:r w:rsidR="782CA35F" w:rsidRPr="00620BDA">
        <w:rPr>
          <w:rFonts w:ascii="Gill Sans MT" w:eastAsia="Gill Sans MT" w:hAnsi="Gill Sans MT" w:cs="Gill Sans MT"/>
        </w:rPr>
        <w:t>T</w:t>
      </w:r>
      <w:r w:rsidR="00DD0B69" w:rsidRPr="00620BDA">
        <w:rPr>
          <w:rFonts w:ascii="Gill Sans MT" w:eastAsia="Gill Sans MT" w:hAnsi="Gill Sans MT" w:cs="Gill Sans MT"/>
        </w:rPr>
        <w:t xml:space="preserve">hese historical collections do not simply represent </w:t>
      </w:r>
      <w:r w:rsidR="001A1D4C" w:rsidRPr="00620BDA">
        <w:rPr>
          <w:rFonts w:ascii="Gill Sans MT" w:eastAsia="Gill Sans MT" w:hAnsi="Gill Sans MT" w:cs="Gill Sans MT"/>
        </w:rPr>
        <w:t>‘static assemblages of material culture</w:t>
      </w:r>
      <w:r w:rsidR="00DD0B69" w:rsidRPr="00620BDA">
        <w:rPr>
          <w:rFonts w:ascii="Gill Sans MT" w:eastAsia="Gill Sans MT" w:hAnsi="Gill Sans MT" w:cs="Gill Sans MT"/>
        </w:rPr>
        <w:t>’, instead</w:t>
      </w:r>
      <w:r w:rsidR="001A1D4C" w:rsidRPr="00620BDA">
        <w:rPr>
          <w:rFonts w:ascii="Gill Sans MT" w:eastAsia="Gill Sans MT" w:hAnsi="Gill Sans MT" w:cs="Gill Sans MT"/>
        </w:rPr>
        <w:t xml:space="preserve"> </w:t>
      </w:r>
      <w:r w:rsidR="00DD0B69" w:rsidRPr="00620BDA">
        <w:rPr>
          <w:rFonts w:ascii="Gill Sans MT" w:eastAsia="Gill Sans MT" w:hAnsi="Gill Sans MT" w:cs="Gill Sans MT"/>
        </w:rPr>
        <w:t>‘</w:t>
      </w:r>
      <w:r w:rsidR="001A1D4C" w:rsidRPr="00620BDA">
        <w:rPr>
          <w:rFonts w:ascii="Gill Sans MT" w:eastAsia="Gill Sans MT" w:hAnsi="Gill Sans MT" w:cs="Gill Sans MT"/>
        </w:rPr>
        <w:t xml:space="preserve">they are creative technologies that enable </w:t>
      </w:r>
      <w:r w:rsidR="00DD0B69" w:rsidRPr="00620BDA">
        <w:rPr>
          <w:rFonts w:ascii="Gill Sans MT" w:eastAsia="Gill Sans MT" w:hAnsi="Gill Sans MT" w:cs="Gill Sans MT"/>
        </w:rPr>
        <w:t xml:space="preserve">[Indigenous] </w:t>
      </w:r>
      <w:r w:rsidR="001A1D4C" w:rsidRPr="00620BDA">
        <w:rPr>
          <w:rFonts w:ascii="Gill Sans MT" w:eastAsia="Gill Sans MT" w:hAnsi="Gill Sans MT" w:cs="Gill Sans MT"/>
        </w:rPr>
        <w:t xml:space="preserve">people to rediscover ancestral works and knowledge, recover stories, and make new connections and works’ (13).  </w:t>
      </w:r>
    </w:p>
    <w:p w14:paraId="15BD9848" w14:textId="6752838A" w:rsidR="00DD0B69" w:rsidRPr="00620BDA" w:rsidRDefault="009E3BB6" w:rsidP="00620BDA">
      <w:pPr>
        <w:ind w:firstLine="720"/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</w:rPr>
        <w:t xml:space="preserve">The book </w:t>
      </w:r>
      <w:r w:rsidR="00173918" w:rsidRPr="00620BDA">
        <w:rPr>
          <w:rFonts w:ascii="Gill Sans MT" w:eastAsia="Gill Sans MT" w:hAnsi="Gill Sans MT" w:cs="Gill Sans MT"/>
        </w:rPr>
        <w:t>also</w:t>
      </w:r>
      <w:r w:rsidR="008D2745" w:rsidRPr="00620BDA">
        <w:rPr>
          <w:rFonts w:ascii="Gill Sans MT" w:eastAsia="Gill Sans MT" w:hAnsi="Gill Sans MT" w:cs="Gill Sans MT"/>
        </w:rPr>
        <w:t xml:space="preserve"> contributes to wider </w:t>
      </w:r>
      <w:r w:rsidR="00344BCA" w:rsidRPr="00620BDA">
        <w:rPr>
          <w:rFonts w:ascii="Gill Sans MT" w:eastAsia="Gill Sans MT" w:hAnsi="Gill Sans MT" w:cs="Gill Sans MT"/>
        </w:rPr>
        <w:t xml:space="preserve">contemporary </w:t>
      </w:r>
      <w:r w:rsidR="008D2745" w:rsidRPr="00620BDA">
        <w:rPr>
          <w:rFonts w:ascii="Gill Sans MT" w:eastAsia="Gill Sans MT" w:hAnsi="Gill Sans MT" w:cs="Gill Sans MT"/>
        </w:rPr>
        <w:t xml:space="preserve">debates within museum studies and collection histories, </w:t>
      </w:r>
      <w:r w:rsidR="00B16EAF" w:rsidRPr="00620BDA">
        <w:rPr>
          <w:rFonts w:ascii="Gill Sans MT" w:eastAsia="Gill Sans MT" w:hAnsi="Gill Sans MT" w:cs="Gill Sans MT"/>
        </w:rPr>
        <w:t>namely</w:t>
      </w:r>
      <w:r w:rsidR="008D2745" w:rsidRPr="00620BDA">
        <w:rPr>
          <w:rFonts w:ascii="Gill Sans MT" w:eastAsia="Gill Sans MT" w:hAnsi="Gill Sans MT" w:cs="Gill Sans MT"/>
        </w:rPr>
        <w:t xml:space="preserve"> the colonial legacies of museums and ethnographic</w:t>
      </w:r>
      <w:r w:rsidR="00B51B84" w:rsidRPr="00620BDA">
        <w:rPr>
          <w:rFonts w:ascii="Gill Sans MT" w:eastAsia="Gill Sans MT" w:hAnsi="Gill Sans MT" w:cs="Gill Sans MT"/>
        </w:rPr>
        <w:t xml:space="preserve"> </w:t>
      </w:r>
      <w:r w:rsidR="008D2745" w:rsidRPr="00620BDA">
        <w:rPr>
          <w:rFonts w:ascii="Gill Sans MT" w:eastAsia="Gill Sans MT" w:hAnsi="Gill Sans MT" w:cs="Gill Sans MT"/>
        </w:rPr>
        <w:t>collections</w:t>
      </w:r>
      <w:r w:rsidR="00621EAF" w:rsidRPr="00620BDA">
        <w:rPr>
          <w:rFonts w:ascii="Gill Sans MT" w:eastAsia="Gill Sans MT" w:hAnsi="Gill Sans MT" w:cs="Gill Sans MT"/>
        </w:rPr>
        <w:t>. Specifically,</w:t>
      </w:r>
      <w:r w:rsidR="008D2745" w:rsidRPr="00620BDA">
        <w:rPr>
          <w:rFonts w:ascii="Gill Sans MT" w:eastAsia="Gill Sans MT" w:hAnsi="Gill Sans MT" w:cs="Gill Sans MT"/>
        </w:rPr>
        <w:t xml:space="preserve"> </w:t>
      </w:r>
      <w:r w:rsidR="00621EAF" w:rsidRPr="00620BDA">
        <w:rPr>
          <w:rFonts w:ascii="Gill Sans MT" w:eastAsia="Gill Sans MT" w:hAnsi="Gill Sans MT" w:cs="Gill Sans MT"/>
        </w:rPr>
        <w:t xml:space="preserve">and topically, </w:t>
      </w:r>
      <w:r w:rsidR="008D2745" w:rsidRPr="00620BDA">
        <w:rPr>
          <w:rFonts w:ascii="Gill Sans MT" w:eastAsia="Gill Sans MT" w:hAnsi="Gill Sans MT" w:cs="Gill Sans MT"/>
        </w:rPr>
        <w:t>the popular narrative</w:t>
      </w:r>
      <w:r w:rsidR="00173918" w:rsidRPr="00620BDA">
        <w:rPr>
          <w:rFonts w:ascii="Gill Sans MT" w:eastAsia="Gill Sans MT" w:hAnsi="Gill Sans MT" w:cs="Gill Sans MT"/>
        </w:rPr>
        <w:t xml:space="preserve"> that ethnographic collections </w:t>
      </w:r>
      <w:r w:rsidR="00F042C4" w:rsidRPr="00620BDA">
        <w:rPr>
          <w:rFonts w:ascii="Gill Sans MT" w:eastAsia="Gill Sans MT" w:hAnsi="Gill Sans MT" w:cs="Gill Sans MT"/>
        </w:rPr>
        <w:t xml:space="preserve">are comprised </w:t>
      </w:r>
      <w:r w:rsidR="00B74099" w:rsidRPr="00620BDA">
        <w:rPr>
          <w:rFonts w:ascii="Gill Sans MT" w:eastAsia="Gill Sans MT" w:hAnsi="Gill Sans MT" w:cs="Gill Sans MT"/>
        </w:rPr>
        <w:t xml:space="preserve">solely </w:t>
      </w:r>
      <w:r w:rsidR="00F042C4" w:rsidRPr="00620BDA">
        <w:rPr>
          <w:rFonts w:ascii="Gill Sans MT" w:eastAsia="Gill Sans MT" w:hAnsi="Gill Sans MT" w:cs="Gill Sans MT"/>
        </w:rPr>
        <w:t xml:space="preserve">of </w:t>
      </w:r>
      <w:r w:rsidR="00B74099" w:rsidRPr="00620BDA">
        <w:rPr>
          <w:rFonts w:ascii="Gill Sans MT" w:eastAsia="Gill Sans MT" w:hAnsi="Gill Sans MT" w:cs="Gill Sans MT"/>
        </w:rPr>
        <w:t xml:space="preserve">stolen </w:t>
      </w:r>
      <w:r w:rsidR="00527E24" w:rsidRPr="00620BDA">
        <w:rPr>
          <w:rFonts w:ascii="Gill Sans MT" w:eastAsia="Gill Sans MT" w:hAnsi="Gill Sans MT" w:cs="Gill Sans MT"/>
        </w:rPr>
        <w:t>‘</w:t>
      </w:r>
      <w:r w:rsidR="00B74099" w:rsidRPr="00620BDA">
        <w:rPr>
          <w:rFonts w:ascii="Gill Sans MT" w:eastAsia="Gill Sans MT" w:hAnsi="Gill Sans MT" w:cs="Gill Sans MT"/>
        </w:rPr>
        <w:t>colonial loot</w:t>
      </w:r>
      <w:r w:rsidR="00527E24" w:rsidRPr="00620BDA">
        <w:rPr>
          <w:rFonts w:ascii="Gill Sans MT" w:eastAsia="Gill Sans MT" w:hAnsi="Gill Sans MT" w:cs="Gill Sans MT"/>
        </w:rPr>
        <w:t>’</w:t>
      </w:r>
      <w:r w:rsidR="00DC02CE" w:rsidRPr="00620BDA">
        <w:rPr>
          <w:rFonts w:ascii="Gill Sans MT" w:eastAsia="Gill Sans MT" w:hAnsi="Gill Sans MT" w:cs="Gill Sans MT"/>
        </w:rPr>
        <w:t>.</w:t>
      </w:r>
      <w:r w:rsidR="00EB0BB8" w:rsidRPr="00620BDA">
        <w:rPr>
          <w:rFonts w:ascii="Gill Sans MT" w:eastAsia="Gill Sans MT" w:hAnsi="Gill Sans MT" w:cs="Gill Sans MT"/>
        </w:rPr>
        <w:t xml:space="preserve"> </w:t>
      </w:r>
      <w:r w:rsidR="00DC02CE" w:rsidRPr="00620BDA">
        <w:rPr>
          <w:rFonts w:ascii="Gill Sans MT" w:eastAsia="Gill Sans MT" w:hAnsi="Gill Sans MT" w:cs="Gill Sans MT"/>
        </w:rPr>
        <w:t>This domina</w:t>
      </w:r>
      <w:r w:rsidR="009D6423">
        <w:rPr>
          <w:rFonts w:ascii="Gill Sans MT" w:eastAsia="Gill Sans MT" w:hAnsi="Gill Sans MT" w:cs="Gill Sans MT"/>
        </w:rPr>
        <w:t>n</w:t>
      </w:r>
      <w:r w:rsidR="00DC02CE" w:rsidRPr="00620BDA">
        <w:rPr>
          <w:rFonts w:ascii="Gill Sans MT" w:eastAsia="Gill Sans MT" w:hAnsi="Gill Sans MT" w:cs="Gill Sans MT"/>
        </w:rPr>
        <w:t>t narrative, though accurate for many collections, is</w:t>
      </w:r>
      <w:r w:rsidR="0ADC346A" w:rsidRPr="00620BDA">
        <w:rPr>
          <w:rFonts w:ascii="Gill Sans MT" w:eastAsia="Gill Sans MT" w:hAnsi="Gill Sans MT" w:cs="Gill Sans MT"/>
        </w:rPr>
        <w:t>,</w:t>
      </w:r>
      <w:r w:rsidR="00DC02CE" w:rsidRPr="00620BDA">
        <w:rPr>
          <w:rFonts w:ascii="Gill Sans MT" w:eastAsia="Gill Sans MT" w:hAnsi="Gill Sans MT" w:cs="Gill Sans MT"/>
        </w:rPr>
        <w:t xml:space="preserve"> as the </w:t>
      </w:r>
      <w:proofErr w:type="spellStart"/>
      <w:r w:rsidR="00DC02CE" w:rsidRPr="00620BDA">
        <w:rPr>
          <w:rFonts w:ascii="Gill Sans MT" w:eastAsia="Gill Sans MT" w:hAnsi="Gill Sans MT" w:cs="Gill Sans MT"/>
        </w:rPr>
        <w:t>editors</w:t>
      </w:r>
      <w:proofErr w:type="spellEnd"/>
      <w:r w:rsidR="00DC02CE" w:rsidRPr="00620BDA">
        <w:rPr>
          <w:rFonts w:ascii="Gill Sans MT" w:eastAsia="Gill Sans MT" w:hAnsi="Gill Sans MT" w:cs="Gill Sans MT"/>
        </w:rPr>
        <w:t xml:space="preserve"> note</w:t>
      </w:r>
      <w:r w:rsidR="7A534E67" w:rsidRPr="00620BDA">
        <w:rPr>
          <w:rFonts w:ascii="Gill Sans MT" w:eastAsia="Gill Sans MT" w:hAnsi="Gill Sans MT" w:cs="Gill Sans MT"/>
        </w:rPr>
        <w:t>,</w:t>
      </w:r>
      <w:r w:rsidR="00DC02CE" w:rsidRPr="00620BDA">
        <w:rPr>
          <w:rFonts w:ascii="Gill Sans MT" w:eastAsia="Gill Sans MT" w:hAnsi="Gill Sans MT" w:cs="Gill Sans MT"/>
        </w:rPr>
        <w:t xml:space="preserve"> ‘</w:t>
      </w:r>
      <w:r w:rsidR="00527E24" w:rsidRPr="00620BDA">
        <w:rPr>
          <w:rFonts w:ascii="Gill Sans MT" w:eastAsia="Gill Sans MT" w:hAnsi="Gill Sans MT" w:cs="Gill Sans MT"/>
        </w:rPr>
        <w:t>only part of the story</w:t>
      </w:r>
      <w:r w:rsidR="00681592" w:rsidRPr="00620BDA">
        <w:rPr>
          <w:rFonts w:ascii="Gill Sans MT" w:eastAsia="Gill Sans MT" w:hAnsi="Gill Sans MT" w:cs="Gill Sans MT"/>
        </w:rPr>
        <w:t>’</w:t>
      </w:r>
      <w:r w:rsidR="6E46A015" w:rsidRPr="00620BDA">
        <w:rPr>
          <w:rFonts w:ascii="Gill Sans MT" w:eastAsia="Gill Sans MT" w:hAnsi="Gill Sans MT" w:cs="Gill Sans MT"/>
        </w:rPr>
        <w:t xml:space="preserve"> (19)</w:t>
      </w:r>
      <w:r w:rsidR="003111C2" w:rsidRPr="00620BDA">
        <w:rPr>
          <w:rFonts w:ascii="Gill Sans MT" w:eastAsia="Gill Sans MT" w:hAnsi="Gill Sans MT" w:cs="Gill Sans MT"/>
        </w:rPr>
        <w:t>,</w:t>
      </w:r>
      <w:r w:rsidR="00B95A15" w:rsidRPr="00620BDA">
        <w:rPr>
          <w:rFonts w:ascii="Gill Sans MT" w:eastAsia="Gill Sans MT" w:hAnsi="Gill Sans MT" w:cs="Gill Sans MT"/>
        </w:rPr>
        <w:t xml:space="preserve"> as many objects were not solely obtained via </w:t>
      </w:r>
      <w:r w:rsidR="00BF0804" w:rsidRPr="00620BDA">
        <w:rPr>
          <w:rFonts w:ascii="Gill Sans MT" w:eastAsia="Gill Sans MT" w:hAnsi="Gill Sans MT" w:cs="Gill Sans MT"/>
        </w:rPr>
        <w:t>violent means or stealing</w:t>
      </w:r>
      <w:r w:rsidR="009D6423">
        <w:rPr>
          <w:rFonts w:ascii="Gill Sans MT" w:eastAsia="Gill Sans MT" w:hAnsi="Gill Sans MT" w:cs="Gill Sans MT"/>
        </w:rPr>
        <w:t xml:space="preserve"> – </w:t>
      </w:r>
      <w:r w:rsidR="00BF0804" w:rsidRPr="00620BDA">
        <w:rPr>
          <w:rFonts w:ascii="Gill Sans MT" w:eastAsia="Gill Sans MT" w:hAnsi="Gill Sans MT" w:cs="Gill Sans MT"/>
        </w:rPr>
        <w:t>some were traded, sold, gifted, or commissioned</w:t>
      </w:r>
      <w:r w:rsidR="00E17076" w:rsidRPr="00620BDA">
        <w:rPr>
          <w:rFonts w:ascii="Gill Sans MT" w:eastAsia="Gill Sans MT" w:hAnsi="Gill Sans MT" w:cs="Gill Sans MT"/>
        </w:rPr>
        <w:t>.</w:t>
      </w:r>
      <w:r w:rsidR="00697D21" w:rsidRPr="00620BDA">
        <w:rPr>
          <w:rFonts w:ascii="Gill Sans MT" w:eastAsia="Gill Sans MT" w:hAnsi="Gill Sans MT" w:cs="Gill Sans MT"/>
        </w:rPr>
        <w:t xml:space="preserve"> </w:t>
      </w:r>
      <w:r w:rsidR="00BF0804" w:rsidRPr="00620BDA">
        <w:rPr>
          <w:rFonts w:ascii="Gill Sans MT" w:eastAsia="Gill Sans MT" w:hAnsi="Gill Sans MT" w:cs="Gill Sans MT"/>
          <w:i/>
          <w:iCs/>
        </w:rPr>
        <w:t xml:space="preserve">Ancestors, artefacts, </w:t>
      </w:r>
      <w:r w:rsidR="00697D21" w:rsidRPr="00620BDA">
        <w:rPr>
          <w:rFonts w:ascii="Gill Sans MT" w:eastAsia="Gill Sans MT" w:hAnsi="Gill Sans MT" w:cs="Gill Sans MT"/>
          <w:i/>
          <w:iCs/>
        </w:rPr>
        <w:t>empire</w:t>
      </w:r>
      <w:r w:rsidR="00697D21" w:rsidRPr="00620BDA">
        <w:rPr>
          <w:rFonts w:ascii="Gill Sans MT" w:eastAsia="Gill Sans MT" w:hAnsi="Gill Sans MT" w:cs="Gill Sans MT"/>
        </w:rPr>
        <w:t xml:space="preserve"> </w:t>
      </w:r>
      <w:r w:rsidR="32CDE989" w:rsidRPr="00620BDA">
        <w:rPr>
          <w:rFonts w:ascii="Gill Sans MT" w:eastAsia="Gill Sans MT" w:hAnsi="Gill Sans MT" w:cs="Gill Sans MT"/>
        </w:rPr>
        <w:t xml:space="preserve">argues </w:t>
      </w:r>
      <w:r w:rsidR="00697D21" w:rsidRPr="00620BDA">
        <w:rPr>
          <w:rFonts w:ascii="Gill Sans MT" w:eastAsia="Gill Sans MT" w:hAnsi="Gill Sans MT" w:cs="Gill Sans MT"/>
        </w:rPr>
        <w:t>th</w:t>
      </w:r>
      <w:r w:rsidR="00AB6259" w:rsidRPr="00620BDA">
        <w:rPr>
          <w:rFonts w:ascii="Gill Sans MT" w:eastAsia="Gill Sans MT" w:hAnsi="Gill Sans MT" w:cs="Gill Sans MT"/>
        </w:rPr>
        <w:t>at the</w:t>
      </w:r>
      <w:r w:rsidR="00697D21" w:rsidRPr="00620BDA">
        <w:rPr>
          <w:rFonts w:ascii="Gill Sans MT" w:eastAsia="Gill Sans MT" w:hAnsi="Gill Sans MT" w:cs="Gill Sans MT"/>
        </w:rPr>
        <w:t xml:space="preserve"> </w:t>
      </w:r>
      <w:r w:rsidR="00AB6259" w:rsidRPr="00620BDA">
        <w:rPr>
          <w:rFonts w:ascii="Gill Sans MT" w:eastAsia="Gill Sans MT" w:hAnsi="Gill Sans MT" w:cs="Gill Sans MT"/>
        </w:rPr>
        <w:t xml:space="preserve">universal </w:t>
      </w:r>
      <w:r w:rsidR="00697D21" w:rsidRPr="00620BDA">
        <w:rPr>
          <w:rFonts w:ascii="Gill Sans MT" w:eastAsia="Gill Sans MT" w:hAnsi="Gill Sans MT" w:cs="Gill Sans MT"/>
        </w:rPr>
        <w:t xml:space="preserve">colonial loot narrative </w:t>
      </w:r>
      <w:r w:rsidR="008477AE" w:rsidRPr="00620BDA">
        <w:rPr>
          <w:rFonts w:ascii="Gill Sans MT" w:eastAsia="Gill Sans MT" w:hAnsi="Gill Sans MT" w:cs="Gill Sans MT"/>
        </w:rPr>
        <w:t xml:space="preserve">denies the </w:t>
      </w:r>
      <w:r w:rsidR="00153896" w:rsidRPr="00620BDA">
        <w:rPr>
          <w:rFonts w:ascii="Gill Sans MT" w:eastAsia="Gill Sans MT" w:hAnsi="Gill Sans MT" w:cs="Gill Sans MT"/>
        </w:rPr>
        <w:t xml:space="preserve">nuances of cross-cultural interactions </w:t>
      </w:r>
      <w:r w:rsidR="008477AE" w:rsidRPr="00620BDA">
        <w:rPr>
          <w:rFonts w:ascii="Gill Sans MT" w:eastAsia="Gill Sans MT" w:hAnsi="Gill Sans MT" w:cs="Gill Sans MT"/>
        </w:rPr>
        <w:t xml:space="preserve">and the agency of Indigenous peoples, </w:t>
      </w:r>
      <w:r w:rsidR="00153896" w:rsidRPr="00620BDA">
        <w:rPr>
          <w:rFonts w:ascii="Gill Sans MT" w:eastAsia="Gill Sans MT" w:hAnsi="Gill Sans MT" w:cs="Gill Sans MT"/>
        </w:rPr>
        <w:t xml:space="preserve">not only within Australia but across the globe. </w:t>
      </w:r>
      <w:r w:rsidRPr="00620BDA">
        <w:rPr>
          <w:rFonts w:ascii="Gill Sans MT" w:hAnsi="Gill Sans MT"/>
        </w:rPr>
        <w:tab/>
      </w:r>
    </w:p>
    <w:p w14:paraId="6A75B719" w14:textId="5C296CBF" w:rsidR="00C66B7C" w:rsidRPr="00620BDA" w:rsidRDefault="00A91B56" w:rsidP="00620BDA">
      <w:pPr>
        <w:ind w:firstLine="720"/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</w:rPr>
        <w:t xml:space="preserve">A prime example which </w:t>
      </w:r>
      <w:r w:rsidR="0062179D" w:rsidRPr="00620BDA">
        <w:rPr>
          <w:rFonts w:ascii="Gill Sans MT" w:eastAsia="Gill Sans MT" w:hAnsi="Gill Sans MT" w:cs="Gill Sans MT"/>
        </w:rPr>
        <w:t xml:space="preserve">exhibits </w:t>
      </w:r>
      <w:r w:rsidRPr="00620BDA">
        <w:rPr>
          <w:rFonts w:ascii="Gill Sans MT" w:eastAsia="Gill Sans MT" w:hAnsi="Gill Sans MT" w:cs="Gill Sans MT"/>
        </w:rPr>
        <w:t>this</w:t>
      </w:r>
      <w:r w:rsidR="00AB6259" w:rsidRPr="00620BDA">
        <w:rPr>
          <w:rFonts w:ascii="Gill Sans MT" w:eastAsia="Gill Sans MT" w:hAnsi="Gill Sans MT" w:cs="Gill Sans MT"/>
        </w:rPr>
        <w:t xml:space="preserve"> nuance</w:t>
      </w:r>
      <w:r w:rsidRPr="00620BDA">
        <w:rPr>
          <w:rFonts w:ascii="Gill Sans MT" w:eastAsia="Gill Sans MT" w:hAnsi="Gill Sans MT" w:cs="Gill Sans MT"/>
        </w:rPr>
        <w:t xml:space="preserve"> is </w:t>
      </w:r>
      <w:r w:rsidR="00AF0D8D" w:rsidRPr="00620BDA">
        <w:rPr>
          <w:rFonts w:ascii="Gill Sans MT" w:eastAsia="Gill Sans MT" w:hAnsi="Gill Sans MT" w:cs="Gill Sans MT"/>
        </w:rPr>
        <w:t xml:space="preserve">Chapter 15 </w:t>
      </w:r>
      <w:r w:rsidR="00AF0D8D" w:rsidRPr="00620BDA">
        <w:rPr>
          <w:rFonts w:ascii="Gill Sans MT" w:eastAsia="Gill Sans MT" w:hAnsi="Gill Sans MT" w:cs="Gill Sans MT"/>
          <w:i/>
          <w:iCs/>
        </w:rPr>
        <w:t>‘Intimate relations’: objects from the Port Phillip District</w:t>
      </w:r>
      <w:r w:rsidR="00F17BCD" w:rsidRPr="00620BDA">
        <w:rPr>
          <w:rFonts w:ascii="Gill Sans MT" w:eastAsia="Gill Sans MT" w:hAnsi="Gill Sans MT" w:cs="Gill Sans MT"/>
          <w:i/>
          <w:iCs/>
        </w:rPr>
        <w:t xml:space="preserve"> </w:t>
      </w:r>
      <w:r w:rsidR="00AF0D8D" w:rsidRPr="00620BDA">
        <w:rPr>
          <w:rFonts w:ascii="Gill Sans MT" w:eastAsia="Gill Sans MT" w:hAnsi="Gill Sans MT" w:cs="Gill Sans MT"/>
        </w:rPr>
        <w:t>by historian Penny Edmonds.</w:t>
      </w:r>
      <w:r w:rsidR="00B51B84" w:rsidRPr="00620BDA">
        <w:rPr>
          <w:rFonts w:ascii="Gill Sans MT" w:eastAsia="Gill Sans MT" w:hAnsi="Gill Sans MT" w:cs="Gill Sans MT"/>
        </w:rPr>
        <w:t xml:space="preserve"> Edmonds</w:t>
      </w:r>
      <w:r w:rsidR="00A65D2D" w:rsidRPr="00620BDA">
        <w:rPr>
          <w:rFonts w:ascii="Gill Sans MT" w:eastAsia="Gill Sans MT" w:hAnsi="Gill Sans MT" w:cs="Gill Sans MT"/>
        </w:rPr>
        <w:t xml:space="preserve">, </w:t>
      </w:r>
      <w:r w:rsidR="00B51B84" w:rsidRPr="00620BDA">
        <w:rPr>
          <w:rFonts w:ascii="Gill Sans MT" w:eastAsia="Gill Sans MT" w:hAnsi="Gill Sans MT" w:cs="Gill Sans MT"/>
        </w:rPr>
        <w:t>bringing together historical sources, museum c</w:t>
      </w:r>
      <w:r w:rsidR="00A65D2D" w:rsidRPr="00620BDA">
        <w:rPr>
          <w:rFonts w:ascii="Gill Sans MT" w:eastAsia="Gill Sans MT" w:hAnsi="Gill Sans MT" w:cs="Gill Sans MT"/>
        </w:rPr>
        <w:t>ollections and objects</w:t>
      </w:r>
      <w:r w:rsidR="00B51B84" w:rsidRPr="00620BDA">
        <w:rPr>
          <w:rFonts w:ascii="Gill Sans MT" w:eastAsia="Gill Sans MT" w:hAnsi="Gill Sans MT" w:cs="Gill Sans MT"/>
        </w:rPr>
        <w:t xml:space="preserve">, </w:t>
      </w:r>
      <w:r w:rsidR="00A65D2D" w:rsidRPr="00620BDA">
        <w:rPr>
          <w:rFonts w:ascii="Gill Sans MT" w:eastAsia="Gill Sans MT" w:hAnsi="Gill Sans MT" w:cs="Gill Sans MT"/>
        </w:rPr>
        <w:t>explores</w:t>
      </w:r>
      <w:r w:rsidR="00F17BCD" w:rsidRPr="00620BDA">
        <w:rPr>
          <w:rFonts w:ascii="Gill Sans MT" w:eastAsia="Gill Sans MT" w:hAnsi="Gill Sans MT" w:cs="Gill Sans MT"/>
        </w:rPr>
        <w:t xml:space="preserve"> the</w:t>
      </w:r>
      <w:r w:rsidR="00AB6259" w:rsidRPr="00620BDA">
        <w:rPr>
          <w:rFonts w:ascii="Gill Sans MT" w:eastAsia="Gill Sans MT" w:hAnsi="Gill Sans MT" w:cs="Gill Sans MT"/>
        </w:rPr>
        <w:t xml:space="preserve"> complex and differing</w:t>
      </w:r>
      <w:r w:rsidR="00F17BCD" w:rsidRPr="00620BDA">
        <w:rPr>
          <w:rFonts w:ascii="Gill Sans MT" w:eastAsia="Gill Sans MT" w:hAnsi="Gill Sans MT" w:cs="Gill Sans MT"/>
        </w:rPr>
        <w:t xml:space="preserve"> </w:t>
      </w:r>
      <w:r w:rsidRPr="00620BDA">
        <w:rPr>
          <w:rFonts w:ascii="Gill Sans MT" w:eastAsia="Gill Sans MT" w:hAnsi="Gill Sans MT" w:cs="Gill Sans MT"/>
        </w:rPr>
        <w:t xml:space="preserve">nature </w:t>
      </w:r>
      <w:r w:rsidR="00F17BCD" w:rsidRPr="00620BDA">
        <w:rPr>
          <w:rFonts w:ascii="Gill Sans MT" w:eastAsia="Gill Sans MT" w:hAnsi="Gill Sans MT" w:cs="Gill Sans MT"/>
        </w:rPr>
        <w:t xml:space="preserve">of cross-cultural relations within the Port Phillip District (later the Colony and now </w:t>
      </w:r>
      <w:r w:rsidR="00A65D2D" w:rsidRPr="00620BDA">
        <w:rPr>
          <w:rFonts w:ascii="Gill Sans MT" w:eastAsia="Gill Sans MT" w:hAnsi="Gill Sans MT" w:cs="Gill Sans MT"/>
        </w:rPr>
        <w:t xml:space="preserve">the </w:t>
      </w:r>
      <w:r w:rsidR="00F17BCD" w:rsidRPr="00620BDA">
        <w:rPr>
          <w:rFonts w:ascii="Gill Sans MT" w:eastAsia="Gill Sans MT" w:hAnsi="Gill Sans MT" w:cs="Gill Sans MT"/>
        </w:rPr>
        <w:t xml:space="preserve">State of Victoria), </w:t>
      </w:r>
      <w:r w:rsidR="00C66B7C" w:rsidRPr="00620BDA">
        <w:rPr>
          <w:rFonts w:ascii="Gill Sans MT" w:eastAsia="Gill Sans MT" w:hAnsi="Gill Sans MT" w:cs="Gill Sans MT"/>
        </w:rPr>
        <w:t>observing</w:t>
      </w:r>
      <w:r w:rsidR="00F17BCD" w:rsidRPr="00620BDA">
        <w:rPr>
          <w:rFonts w:ascii="Gill Sans MT" w:eastAsia="Gill Sans MT" w:hAnsi="Gill Sans MT" w:cs="Gill Sans MT"/>
        </w:rPr>
        <w:t xml:space="preserve"> it was </w:t>
      </w:r>
      <w:r w:rsidR="00AF0D8D" w:rsidRPr="00620BDA">
        <w:rPr>
          <w:rFonts w:ascii="Gill Sans MT" w:eastAsia="Gill Sans MT" w:hAnsi="Gill Sans MT" w:cs="Gill Sans MT"/>
        </w:rPr>
        <w:t xml:space="preserve">‘a place of confluence, a mixed space of cross-cultural encounter, intimacy and violence’ (152). </w:t>
      </w:r>
      <w:r w:rsidR="00F17BCD" w:rsidRPr="00620BDA">
        <w:rPr>
          <w:rFonts w:ascii="Gill Sans MT" w:eastAsia="Gill Sans MT" w:hAnsi="Gill Sans MT" w:cs="Gill Sans MT"/>
        </w:rPr>
        <w:t xml:space="preserve">One collection Edmonds examines </w:t>
      </w:r>
      <w:r w:rsidR="0083079D" w:rsidRPr="00620BDA">
        <w:rPr>
          <w:rFonts w:ascii="Gill Sans MT" w:eastAsia="Gill Sans MT" w:hAnsi="Gill Sans MT" w:cs="Gill Sans MT"/>
        </w:rPr>
        <w:t xml:space="preserve">is the </w:t>
      </w:r>
      <w:r w:rsidR="001360AD" w:rsidRPr="00620BDA">
        <w:rPr>
          <w:rFonts w:ascii="Gill Sans MT" w:eastAsia="Gill Sans MT" w:hAnsi="Gill Sans MT" w:cs="Gill Sans MT"/>
        </w:rPr>
        <w:t>von Stieglitz collection in the Museum of Ulster, Northern Ireland</w:t>
      </w:r>
      <w:r w:rsidR="1BE5D641" w:rsidRPr="00620BDA">
        <w:rPr>
          <w:rFonts w:ascii="Gill Sans MT" w:eastAsia="Gill Sans MT" w:hAnsi="Gill Sans MT" w:cs="Gill Sans MT"/>
        </w:rPr>
        <w:t xml:space="preserve"> (152- 155)</w:t>
      </w:r>
      <w:r w:rsidR="007A7D20" w:rsidRPr="00620BDA">
        <w:rPr>
          <w:rFonts w:ascii="Gill Sans MT" w:eastAsia="Gill Sans MT" w:hAnsi="Gill Sans MT" w:cs="Gill Sans MT"/>
        </w:rPr>
        <w:t>. Th</w:t>
      </w:r>
      <w:r w:rsidR="001D2734" w:rsidRPr="00620BDA">
        <w:rPr>
          <w:rFonts w:ascii="Gill Sans MT" w:eastAsia="Gill Sans MT" w:hAnsi="Gill Sans MT" w:cs="Gill Sans MT"/>
        </w:rPr>
        <w:t xml:space="preserve">e </w:t>
      </w:r>
      <w:r w:rsidR="007A7D20" w:rsidRPr="00620BDA">
        <w:rPr>
          <w:rFonts w:ascii="Gill Sans MT" w:eastAsia="Gill Sans MT" w:hAnsi="Gill Sans MT" w:cs="Gill Sans MT"/>
        </w:rPr>
        <w:t>von St</w:t>
      </w:r>
      <w:r w:rsidR="00A86F68" w:rsidRPr="00620BDA">
        <w:rPr>
          <w:rFonts w:ascii="Gill Sans MT" w:eastAsia="Gill Sans MT" w:hAnsi="Gill Sans MT" w:cs="Gill Sans MT"/>
        </w:rPr>
        <w:t>i</w:t>
      </w:r>
      <w:r w:rsidR="007A7D20" w:rsidRPr="00620BDA">
        <w:rPr>
          <w:rFonts w:ascii="Gill Sans MT" w:eastAsia="Gill Sans MT" w:hAnsi="Gill Sans MT" w:cs="Gill Sans MT"/>
        </w:rPr>
        <w:t xml:space="preserve">eglitz </w:t>
      </w:r>
      <w:r w:rsidR="001D2734" w:rsidRPr="00620BDA">
        <w:rPr>
          <w:rFonts w:ascii="Gill Sans MT" w:eastAsia="Gill Sans MT" w:hAnsi="Gill Sans MT" w:cs="Gill Sans MT"/>
        </w:rPr>
        <w:t xml:space="preserve">collection </w:t>
      </w:r>
      <w:r w:rsidR="00636BEE" w:rsidRPr="00620BDA">
        <w:rPr>
          <w:rFonts w:ascii="Gill Sans MT" w:eastAsia="Gill Sans MT" w:hAnsi="Gill Sans MT" w:cs="Gill Sans MT"/>
        </w:rPr>
        <w:t>epitomis</w:t>
      </w:r>
      <w:r w:rsidR="001D2734" w:rsidRPr="00620BDA">
        <w:rPr>
          <w:rFonts w:ascii="Gill Sans MT" w:eastAsia="Gill Sans MT" w:hAnsi="Gill Sans MT" w:cs="Gill Sans MT"/>
        </w:rPr>
        <w:t>es</w:t>
      </w:r>
      <w:r w:rsidR="00636BEE" w:rsidRPr="00620BDA">
        <w:rPr>
          <w:rFonts w:ascii="Gill Sans MT" w:eastAsia="Gill Sans MT" w:hAnsi="Gill Sans MT" w:cs="Gill Sans MT"/>
        </w:rPr>
        <w:t xml:space="preserve"> the differing nature of cross-cultural frontier relations and</w:t>
      </w:r>
      <w:r w:rsidR="00503AF8" w:rsidRPr="00620BDA">
        <w:rPr>
          <w:rFonts w:ascii="Gill Sans MT" w:eastAsia="Gill Sans MT" w:hAnsi="Gill Sans MT" w:cs="Gill Sans MT"/>
        </w:rPr>
        <w:t xml:space="preserve"> collecting</w:t>
      </w:r>
      <w:r w:rsidR="007A7D20" w:rsidRPr="00620BDA">
        <w:rPr>
          <w:rFonts w:ascii="Gill Sans MT" w:eastAsia="Gill Sans MT" w:hAnsi="Gill Sans MT" w:cs="Gill Sans MT"/>
        </w:rPr>
        <w:t>, as it</w:t>
      </w:r>
      <w:r w:rsidR="00636BEE" w:rsidRPr="00620BDA">
        <w:rPr>
          <w:rFonts w:ascii="Gill Sans MT" w:eastAsia="Gill Sans MT" w:hAnsi="Gill Sans MT" w:cs="Gill Sans MT"/>
        </w:rPr>
        <w:t xml:space="preserve"> constitutes objects</w:t>
      </w:r>
      <w:r w:rsidR="00503AF8" w:rsidRPr="00620BDA">
        <w:rPr>
          <w:rFonts w:ascii="Gill Sans MT" w:eastAsia="Gill Sans MT" w:hAnsi="Gill Sans MT" w:cs="Gill Sans MT"/>
        </w:rPr>
        <w:t xml:space="preserve"> that were</w:t>
      </w:r>
      <w:r w:rsidR="00777268" w:rsidRPr="00620BDA">
        <w:rPr>
          <w:rFonts w:ascii="Gill Sans MT" w:eastAsia="Gill Sans MT" w:hAnsi="Gill Sans MT" w:cs="Gill Sans MT"/>
        </w:rPr>
        <w:t xml:space="preserve"> </w:t>
      </w:r>
      <w:r w:rsidR="007A7D20" w:rsidRPr="00620BDA">
        <w:rPr>
          <w:rFonts w:ascii="Gill Sans MT" w:eastAsia="Gill Sans MT" w:hAnsi="Gill Sans MT" w:cs="Gill Sans MT"/>
        </w:rPr>
        <w:t xml:space="preserve">obtained via frontier violence and warfare, </w:t>
      </w:r>
      <w:r w:rsidR="25992475" w:rsidRPr="00620BDA">
        <w:rPr>
          <w:rFonts w:ascii="Gill Sans MT" w:eastAsia="Gill Sans MT" w:hAnsi="Gill Sans MT" w:cs="Gill Sans MT"/>
        </w:rPr>
        <w:t>as well as through</w:t>
      </w:r>
      <w:r w:rsidR="007A7D20" w:rsidRPr="00620BDA">
        <w:rPr>
          <w:rFonts w:ascii="Gill Sans MT" w:eastAsia="Gill Sans MT" w:hAnsi="Gill Sans MT" w:cs="Gill Sans MT"/>
        </w:rPr>
        <w:t xml:space="preserve"> exchange and gifting. This collection was amassed </w:t>
      </w:r>
      <w:r w:rsidR="00777268" w:rsidRPr="00620BDA">
        <w:rPr>
          <w:rFonts w:ascii="Gill Sans MT" w:eastAsia="Gill Sans MT" w:hAnsi="Gill Sans MT" w:cs="Gill Sans MT"/>
        </w:rPr>
        <w:t xml:space="preserve">from the local Kulin peoples in and around Melbourne and the </w:t>
      </w:r>
      <w:r w:rsidR="00366FEB" w:rsidRPr="00620BDA">
        <w:rPr>
          <w:rFonts w:ascii="Gill Sans MT" w:eastAsia="Gill Sans MT" w:hAnsi="Gill Sans MT" w:cs="Gill Sans MT"/>
        </w:rPr>
        <w:t xml:space="preserve">von </w:t>
      </w:r>
      <w:r w:rsidR="00777268" w:rsidRPr="00620BDA">
        <w:rPr>
          <w:rFonts w:ascii="Gill Sans MT" w:eastAsia="Gill Sans MT" w:hAnsi="Gill Sans MT" w:cs="Gill Sans MT"/>
        </w:rPr>
        <w:t>St</w:t>
      </w:r>
      <w:r w:rsidR="00A86F68" w:rsidRPr="00620BDA">
        <w:rPr>
          <w:rFonts w:ascii="Gill Sans MT" w:eastAsia="Gill Sans MT" w:hAnsi="Gill Sans MT" w:cs="Gill Sans MT"/>
        </w:rPr>
        <w:t>i</w:t>
      </w:r>
      <w:r w:rsidR="00777268" w:rsidRPr="00620BDA">
        <w:rPr>
          <w:rFonts w:ascii="Gill Sans MT" w:eastAsia="Gill Sans MT" w:hAnsi="Gill Sans MT" w:cs="Gill Sans MT"/>
        </w:rPr>
        <w:t>eglitz pastoral holdings</w:t>
      </w:r>
      <w:r w:rsidR="00366FEB" w:rsidRPr="00620BDA">
        <w:rPr>
          <w:rFonts w:ascii="Gill Sans MT" w:eastAsia="Gill Sans MT" w:hAnsi="Gill Sans MT" w:cs="Gill Sans MT"/>
        </w:rPr>
        <w:t xml:space="preserve"> </w:t>
      </w:r>
      <w:r w:rsidR="00E978EA" w:rsidRPr="00620BDA">
        <w:rPr>
          <w:rFonts w:ascii="Gill Sans MT" w:eastAsia="Gill Sans MT" w:hAnsi="Gill Sans MT" w:cs="Gill Sans MT"/>
        </w:rPr>
        <w:t xml:space="preserve">at Ballan, </w:t>
      </w:r>
      <w:r w:rsidR="00FC57BB" w:rsidRPr="00620BDA">
        <w:rPr>
          <w:rFonts w:ascii="Gill Sans MT" w:eastAsia="Gill Sans MT" w:hAnsi="Gill Sans MT" w:cs="Gill Sans MT"/>
        </w:rPr>
        <w:t>northwest of Melbourne,</w:t>
      </w:r>
      <w:r w:rsidR="00777268" w:rsidRPr="00620BDA">
        <w:rPr>
          <w:rFonts w:ascii="Gill Sans MT" w:eastAsia="Gill Sans MT" w:hAnsi="Gill Sans MT" w:cs="Gill Sans MT"/>
        </w:rPr>
        <w:t xml:space="preserve"> </w:t>
      </w:r>
      <w:r w:rsidR="00475FBF" w:rsidRPr="00620BDA">
        <w:rPr>
          <w:rFonts w:ascii="Gill Sans MT" w:eastAsia="Gill Sans MT" w:hAnsi="Gill Sans MT" w:cs="Gill Sans MT"/>
        </w:rPr>
        <w:t>from 1836 to the mid</w:t>
      </w:r>
      <w:r w:rsidR="000641F9">
        <w:rPr>
          <w:rFonts w:ascii="Gill Sans MT" w:eastAsia="Gill Sans MT" w:hAnsi="Gill Sans MT" w:cs="Gill Sans MT"/>
        </w:rPr>
        <w:t>-</w:t>
      </w:r>
      <w:r w:rsidR="00475FBF" w:rsidRPr="00620BDA">
        <w:rPr>
          <w:rFonts w:ascii="Gill Sans MT" w:eastAsia="Gill Sans MT" w:hAnsi="Gill Sans MT" w:cs="Gill Sans MT"/>
        </w:rPr>
        <w:t>1850s</w:t>
      </w:r>
      <w:r w:rsidR="00503AF8" w:rsidRPr="00620BDA">
        <w:rPr>
          <w:rFonts w:ascii="Gill Sans MT" w:eastAsia="Gill Sans MT" w:hAnsi="Gill Sans MT" w:cs="Gill Sans MT"/>
        </w:rPr>
        <w:t xml:space="preserve">. </w:t>
      </w:r>
    </w:p>
    <w:p w14:paraId="695E911A" w14:textId="41282C71" w:rsidR="00C66B7C" w:rsidRPr="00620BDA" w:rsidRDefault="003111C2" w:rsidP="00620BDA">
      <w:pPr>
        <w:ind w:firstLine="720"/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</w:rPr>
        <w:t xml:space="preserve">Edmonds also highlights the nuances amongst the </w:t>
      </w:r>
      <w:r w:rsidR="004E2E1E" w:rsidRPr="00620BDA">
        <w:rPr>
          <w:rFonts w:ascii="Gill Sans MT" w:eastAsia="Gill Sans MT" w:hAnsi="Gill Sans MT" w:cs="Gill Sans MT"/>
        </w:rPr>
        <w:t xml:space="preserve">obtainment of objects via gifting, selling, or trading, as </w:t>
      </w:r>
      <w:r w:rsidR="0087214F" w:rsidRPr="00620BDA">
        <w:rPr>
          <w:rFonts w:ascii="Gill Sans MT" w:eastAsia="Gill Sans MT" w:hAnsi="Gill Sans MT" w:cs="Gill Sans MT"/>
        </w:rPr>
        <w:t xml:space="preserve">these </w:t>
      </w:r>
      <w:r w:rsidR="00544AD8" w:rsidRPr="00620BDA">
        <w:rPr>
          <w:rFonts w:ascii="Gill Sans MT" w:eastAsia="Gill Sans MT" w:hAnsi="Gill Sans MT" w:cs="Gill Sans MT"/>
        </w:rPr>
        <w:t xml:space="preserve">relations were occurring due to </w:t>
      </w:r>
      <w:r w:rsidR="004E2E1E" w:rsidRPr="00620BDA">
        <w:rPr>
          <w:rFonts w:ascii="Gill Sans MT" w:eastAsia="Gill Sans MT" w:hAnsi="Gill Sans MT" w:cs="Gill Sans MT"/>
        </w:rPr>
        <w:t>colonisatio</w:t>
      </w:r>
      <w:r w:rsidR="007A7D20" w:rsidRPr="00620BDA">
        <w:rPr>
          <w:rFonts w:ascii="Gill Sans MT" w:eastAsia="Gill Sans MT" w:hAnsi="Gill Sans MT" w:cs="Gill Sans MT"/>
        </w:rPr>
        <w:t xml:space="preserve">n, </w:t>
      </w:r>
      <w:r w:rsidR="00544AD8" w:rsidRPr="00620BDA">
        <w:rPr>
          <w:rFonts w:ascii="Gill Sans MT" w:eastAsia="Gill Sans MT" w:hAnsi="Gill Sans MT" w:cs="Gill Sans MT"/>
        </w:rPr>
        <w:t xml:space="preserve">and </w:t>
      </w:r>
      <w:r w:rsidR="007A7D20" w:rsidRPr="00620BDA">
        <w:rPr>
          <w:rFonts w:ascii="Gill Sans MT" w:eastAsia="Gill Sans MT" w:hAnsi="Gill Sans MT" w:cs="Gill Sans MT"/>
        </w:rPr>
        <w:t>many</w:t>
      </w:r>
      <w:r w:rsidR="004E2E1E" w:rsidRPr="00620BDA">
        <w:rPr>
          <w:rFonts w:ascii="Gill Sans MT" w:eastAsia="Gill Sans MT" w:hAnsi="Gill Sans MT" w:cs="Gill Sans MT"/>
        </w:rPr>
        <w:t xml:space="preserve">, but not all, </w:t>
      </w:r>
      <w:r w:rsidR="007A7D20" w:rsidRPr="00620BDA">
        <w:rPr>
          <w:rFonts w:ascii="Gill Sans MT" w:eastAsia="Gill Sans MT" w:hAnsi="Gill Sans MT" w:cs="Gill Sans MT"/>
        </w:rPr>
        <w:t xml:space="preserve">were also obtained </w:t>
      </w:r>
      <w:r w:rsidR="004E2E1E" w:rsidRPr="00620BDA">
        <w:rPr>
          <w:rFonts w:ascii="Gill Sans MT" w:eastAsia="Gill Sans MT" w:hAnsi="Gill Sans MT" w:cs="Gill Sans MT"/>
        </w:rPr>
        <w:t xml:space="preserve">under unequal power dynamics. For example, the </w:t>
      </w:r>
      <w:r w:rsidR="00F41895" w:rsidRPr="00620BDA">
        <w:rPr>
          <w:rFonts w:ascii="Gill Sans MT" w:eastAsia="Gill Sans MT" w:hAnsi="Gill Sans MT" w:cs="Gill Sans MT"/>
        </w:rPr>
        <w:t xml:space="preserve">agency of </w:t>
      </w:r>
      <w:r w:rsidR="00A94854" w:rsidRPr="00620BDA">
        <w:rPr>
          <w:rFonts w:ascii="Gill Sans MT" w:eastAsia="Gill Sans MT" w:hAnsi="Gill Sans MT" w:cs="Gill Sans MT"/>
        </w:rPr>
        <w:t>Kulin peoples</w:t>
      </w:r>
      <w:r w:rsidR="00F41895" w:rsidRPr="00620BDA">
        <w:rPr>
          <w:rFonts w:ascii="Gill Sans MT" w:eastAsia="Gill Sans MT" w:hAnsi="Gill Sans MT" w:cs="Gill Sans MT"/>
        </w:rPr>
        <w:t xml:space="preserve"> is illustrated in the </w:t>
      </w:r>
      <w:r w:rsidR="00AB6259" w:rsidRPr="00620BDA">
        <w:rPr>
          <w:rFonts w:ascii="Gill Sans MT" w:eastAsia="Gill Sans MT" w:hAnsi="Gill Sans MT" w:cs="Gill Sans MT"/>
        </w:rPr>
        <w:t xml:space="preserve">writings of the colonist John Cotton, who records </w:t>
      </w:r>
      <w:proofErr w:type="spellStart"/>
      <w:r w:rsidR="00AB6259" w:rsidRPr="00620BDA">
        <w:rPr>
          <w:rFonts w:ascii="Gill Sans MT" w:eastAsia="Gill Sans MT" w:hAnsi="Gill Sans MT" w:cs="Gill Sans MT"/>
        </w:rPr>
        <w:t>Daungwurrung</w:t>
      </w:r>
      <w:proofErr w:type="spellEnd"/>
      <w:r w:rsidR="00AB6259" w:rsidRPr="00620BDA">
        <w:rPr>
          <w:rFonts w:ascii="Gill Sans MT" w:eastAsia="Gill Sans MT" w:hAnsi="Gill Sans MT" w:cs="Gill Sans MT"/>
        </w:rPr>
        <w:t xml:space="preserve"> people </w:t>
      </w:r>
      <w:r w:rsidR="009468BE" w:rsidRPr="00620BDA">
        <w:rPr>
          <w:rFonts w:ascii="Gill Sans MT" w:eastAsia="Gill Sans MT" w:hAnsi="Gill Sans MT" w:cs="Gill Sans MT"/>
        </w:rPr>
        <w:t>bartering ‘opossum skins, squirrel skins… waddies [clubs], shields, and boomerangs’ for foodstuffs, such as ‘cabbages, carrots, melons, wheat, rice, sugar etc</w:t>
      </w:r>
      <w:r w:rsidR="000641F9">
        <w:rPr>
          <w:rFonts w:ascii="Gill Sans MT" w:eastAsia="Gill Sans MT" w:hAnsi="Gill Sans MT" w:cs="Gill Sans MT"/>
        </w:rPr>
        <w:t>.</w:t>
      </w:r>
      <w:r w:rsidR="009468BE" w:rsidRPr="00620BDA">
        <w:rPr>
          <w:rFonts w:ascii="Gill Sans MT" w:eastAsia="Gill Sans MT" w:hAnsi="Gill Sans MT" w:cs="Gill Sans MT"/>
        </w:rPr>
        <w:t>’ (155). Edmonds in her analysis of th</w:t>
      </w:r>
      <w:r w:rsidR="00F41895" w:rsidRPr="00620BDA">
        <w:rPr>
          <w:rFonts w:ascii="Gill Sans MT" w:eastAsia="Gill Sans MT" w:hAnsi="Gill Sans MT" w:cs="Gill Sans MT"/>
        </w:rPr>
        <w:t>ese practices</w:t>
      </w:r>
      <w:r w:rsidR="009468BE" w:rsidRPr="00620BDA">
        <w:rPr>
          <w:rFonts w:ascii="Gill Sans MT" w:eastAsia="Gill Sans MT" w:hAnsi="Gill Sans MT" w:cs="Gill Sans MT"/>
        </w:rPr>
        <w:t xml:space="preserve"> </w:t>
      </w:r>
      <w:r w:rsidR="00F41895" w:rsidRPr="00620BDA">
        <w:rPr>
          <w:rFonts w:ascii="Gill Sans MT" w:eastAsia="Gill Sans MT" w:hAnsi="Gill Sans MT" w:cs="Gill Sans MT"/>
        </w:rPr>
        <w:t>notes</w:t>
      </w:r>
      <w:r w:rsidR="00102198" w:rsidRPr="00620BDA">
        <w:rPr>
          <w:rFonts w:ascii="Gill Sans MT" w:eastAsia="Gill Sans MT" w:hAnsi="Gill Sans MT" w:cs="Gill Sans MT"/>
        </w:rPr>
        <w:t xml:space="preserve"> how</w:t>
      </w:r>
      <w:r w:rsidR="009468BE" w:rsidRPr="00620BDA">
        <w:rPr>
          <w:rFonts w:ascii="Gill Sans MT" w:eastAsia="Gill Sans MT" w:hAnsi="Gill Sans MT" w:cs="Gill Sans MT"/>
        </w:rPr>
        <w:t xml:space="preserve"> </w:t>
      </w:r>
      <w:r w:rsidR="00F41895" w:rsidRPr="00620BDA">
        <w:rPr>
          <w:rFonts w:ascii="Gill Sans MT" w:eastAsia="Gill Sans MT" w:hAnsi="Gill Sans MT" w:cs="Gill Sans MT"/>
        </w:rPr>
        <w:t xml:space="preserve">they </w:t>
      </w:r>
      <w:r w:rsidR="004E2E1E" w:rsidRPr="00620BDA">
        <w:rPr>
          <w:rFonts w:ascii="Gill Sans MT" w:eastAsia="Gill Sans MT" w:hAnsi="Gill Sans MT" w:cs="Gill Sans MT"/>
        </w:rPr>
        <w:t xml:space="preserve">represent Kulin peoples’ traditional </w:t>
      </w:r>
      <w:r w:rsidR="00544AD8" w:rsidRPr="00620BDA">
        <w:rPr>
          <w:rFonts w:ascii="Gill Sans MT" w:eastAsia="Gill Sans MT" w:hAnsi="Gill Sans MT" w:cs="Gill Sans MT"/>
        </w:rPr>
        <w:t xml:space="preserve">commerce and social relations, </w:t>
      </w:r>
      <w:r w:rsidR="004E2E1E" w:rsidRPr="00620BDA">
        <w:rPr>
          <w:rFonts w:ascii="Gill Sans MT" w:eastAsia="Gill Sans MT" w:hAnsi="Gill Sans MT" w:cs="Gill Sans MT"/>
        </w:rPr>
        <w:t>but also the</w:t>
      </w:r>
      <w:r w:rsidR="007065AB" w:rsidRPr="00620BDA">
        <w:rPr>
          <w:rFonts w:ascii="Gill Sans MT" w:eastAsia="Gill Sans MT" w:hAnsi="Gill Sans MT" w:cs="Gill Sans MT"/>
        </w:rPr>
        <w:t xml:space="preserve"> necessity </w:t>
      </w:r>
      <w:r w:rsidR="004E2E1E" w:rsidRPr="00620BDA">
        <w:rPr>
          <w:rFonts w:ascii="Gill Sans MT" w:eastAsia="Gill Sans MT" w:hAnsi="Gill Sans MT" w:cs="Gill Sans MT"/>
        </w:rPr>
        <w:t>to obtain foodstuffs</w:t>
      </w:r>
      <w:r w:rsidR="00102198" w:rsidRPr="00620BDA">
        <w:rPr>
          <w:rFonts w:ascii="Gill Sans MT" w:eastAsia="Gill Sans MT" w:hAnsi="Gill Sans MT" w:cs="Gill Sans MT"/>
        </w:rPr>
        <w:t xml:space="preserve"> from Europeans in the wake of the British invasion, which had destabilised </w:t>
      </w:r>
      <w:r w:rsidR="00752FEC" w:rsidRPr="00620BDA">
        <w:rPr>
          <w:rFonts w:ascii="Gill Sans MT" w:eastAsia="Gill Sans MT" w:hAnsi="Gill Sans MT" w:cs="Gill Sans MT"/>
        </w:rPr>
        <w:t xml:space="preserve">long-established </w:t>
      </w:r>
      <w:r w:rsidR="00102198" w:rsidRPr="00620BDA">
        <w:rPr>
          <w:rFonts w:ascii="Gill Sans MT" w:eastAsia="Gill Sans MT" w:hAnsi="Gill Sans MT" w:cs="Gill Sans MT"/>
        </w:rPr>
        <w:t xml:space="preserve">food </w:t>
      </w:r>
      <w:r w:rsidR="0087214F" w:rsidRPr="00620BDA">
        <w:rPr>
          <w:rFonts w:ascii="Gill Sans MT" w:eastAsia="Gill Sans MT" w:hAnsi="Gill Sans MT" w:cs="Gill Sans MT"/>
        </w:rPr>
        <w:t>sources.</w:t>
      </w:r>
      <w:r w:rsidR="00102198" w:rsidRPr="00620BDA">
        <w:rPr>
          <w:rFonts w:ascii="Gill Sans MT" w:eastAsia="Gill Sans MT" w:hAnsi="Gill Sans MT" w:cs="Gill Sans MT"/>
        </w:rPr>
        <w:t xml:space="preserve"> </w:t>
      </w:r>
    </w:p>
    <w:p w14:paraId="1577840F" w14:textId="3C613D94" w:rsidR="005A201B" w:rsidRPr="00620BDA" w:rsidRDefault="00C93CE3" w:rsidP="00620BDA">
      <w:pPr>
        <w:ind w:firstLine="720"/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</w:rPr>
        <w:t>Perhaps the singular fault</w:t>
      </w:r>
      <w:r w:rsidR="004D38BD" w:rsidRPr="00620BDA">
        <w:rPr>
          <w:rFonts w:ascii="Gill Sans MT" w:eastAsia="Gill Sans MT" w:hAnsi="Gill Sans MT" w:cs="Gill Sans MT"/>
        </w:rPr>
        <w:t xml:space="preserve"> </w:t>
      </w:r>
      <w:r w:rsidR="005A201B" w:rsidRPr="00620BDA">
        <w:rPr>
          <w:rFonts w:ascii="Gill Sans MT" w:eastAsia="Gill Sans MT" w:hAnsi="Gill Sans MT" w:cs="Gill Sans MT"/>
        </w:rPr>
        <w:t>with the book is</w:t>
      </w:r>
      <w:r w:rsidR="00AF0D8D" w:rsidRPr="00620BDA">
        <w:rPr>
          <w:rFonts w:ascii="Gill Sans MT" w:eastAsia="Gill Sans MT" w:hAnsi="Gill Sans MT" w:cs="Gill Sans MT"/>
        </w:rPr>
        <w:t xml:space="preserve"> </w:t>
      </w:r>
      <w:r w:rsidRPr="00620BDA">
        <w:rPr>
          <w:rFonts w:ascii="Gill Sans MT" w:eastAsia="Gill Sans MT" w:hAnsi="Gill Sans MT" w:cs="Gill Sans MT"/>
        </w:rPr>
        <w:t>the omission of the Saffron Walden Museum in Essex</w:t>
      </w:r>
      <w:r w:rsidR="00AF0D8D" w:rsidRPr="00620BDA">
        <w:rPr>
          <w:rFonts w:ascii="Gill Sans MT" w:eastAsia="Gill Sans MT" w:hAnsi="Gill Sans MT" w:cs="Gill Sans MT"/>
        </w:rPr>
        <w:t xml:space="preserve"> in </w:t>
      </w:r>
      <w:r w:rsidR="005A201B" w:rsidRPr="00620BDA">
        <w:rPr>
          <w:rFonts w:ascii="Gill Sans MT" w:eastAsia="Gill Sans MT" w:hAnsi="Gill Sans MT" w:cs="Gill Sans MT"/>
        </w:rPr>
        <w:t>Appendix 2</w:t>
      </w:r>
      <w:r w:rsidR="3266513D" w:rsidRPr="00620BDA">
        <w:rPr>
          <w:rFonts w:ascii="Gill Sans MT" w:eastAsia="Gill Sans MT" w:hAnsi="Gill Sans MT" w:cs="Gill Sans MT"/>
        </w:rPr>
        <w:t xml:space="preserve"> (255- 258)</w:t>
      </w:r>
      <w:r w:rsidRPr="00620BDA">
        <w:rPr>
          <w:rFonts w:ascii="Gill Sans MT" w:eastAsia="Gill Sans MT" w:hAnsi="Gill Sans MT" w:cs="Gill Sans MT"/>
        </w:rPr>
        <w:t>.</w:t>
      </w:r>
      <w:r w:rsidR="004D38BD" w:rsidRPr="00620BDA">
        <w:rPr>
          <w:rFonts w:ascii="Gill Sans MT" w:eastAsia="Gill Sans MT" w:hAnsi="Gill Sans MT" w:cs="Gill Sans MT"/>
        </w:rPr>
        <w:t xml:space="preserve"> </w:t>
      </w:r>
      <w:r w:rsidRPr="00620BDA">
        <w:rPr>
          <w:rFonts w:ascii="Gill Sans MT" w:eastAsia="Gill Sans MT" w:hAnsi="Gill Sans MT" w:cs="Gill Sans MT"/>
        </w:rPr>
        <w:t xml:space="preserve">Appendix 2 </w:t>
      </w:r>
      <w:r w:rsidR="00A94854" w:rsidRPr="00620BDA">
        <w:rPr>
          <w:rFonts w:ascii="Gill Sans MT" w:eastAsia="Gill Sans MT" w:hAnsi="Gill Sans MT" w:cs="Gill Sans MT"/>
        </w:rPr>
        <w:t>lists the</w:t>
      </w:r>
      <w:r w:rsidR="005A201B" w:rsidRPr="00620BDA">
        <w:rPr>
          <w:rFonts w:ascii="Gill Sans MT" w:eastAsia="Gill Sans MT" w:hAnsi="Gill Sans MT" w:cs="Gill Sans MT"/>
        </w:rPr>
        <w:t xml:space="preserve"> museums and institutions which have collections from the State of Victoria</w:t>
      </w:r>
      <w:r w:rsidRPr="00620BDA">
        <w:rPr>
          <w:rFonts w:ascii="Gill Sans MT" w:eastAsia="Gill Sans MT" w:hAnsi="Gill Sans MT" w:cs="Gill Sans MT"/>
        </w:rPr>
        <w:t xml:space="preserve">, and the absence of this museum is </w:t>
      </w:r>
      <w:r w:rsidR="00A94854" w:rsidRPr="00620BDA">
        <w:rPr>
          <w:rFonts w:ascii="Gill Sans MT" w:eastAsia="Gill Sans MT" w:hAnsi="Gill Sans MT" w:cs="Gill Sans MT"/>
        </w:rPr>
        <w:t>disappointing. The</w:t>
      </w:r>
      <w:r w:rsidR="004D38BD" w:rsidRPr="00620BDA">
        <w:rPr>
          <w:rFonts w:ascii="Gill Sans MT" w:eastAsia="Gill Sans MT" w:hAnsi="Gill Sans MT" w:cs="Gill Sans MT"/>
        </w:rPr>
        <w:t xml:space="preserve"> Saffron Walden Museum </w:t>
      </w:r>
      <w:r w:rsidR="00C00A31" w:rsidRPr="00620BDA">
        <w:rPr>
          <w:rFonts w:ascii="Gill Sans MT" w:eastAsia="Gill Sans MT" w:hAnsi="Gill Sans MT" w:cs="Gill Sans MT"/>
        </w:rPr>
        <w:t xml:space="preserve">contains </w:t>
      </w:r>
      <w:r w:rsidR="00A23D91" w:rsidRPr="00620BDA">
        <w:rPr>
          <w:rFonts w:ascii="Gill Sans MT" w:eastAsia="Gill Sans MT" w:hAnsi="Gill Sans MT" w:cs="Gill Sans MT"/>
        </w:rPr>
        <w:t xml:space="preserve">an important </w:t>
      </w:r>
      <w:r w:rsidR="00FF16B1" w:rsidRPr="00620BDA">
        <w:rPr>
          <w:rFonts w:ascii="Gill Sans MT" w:eastAsia="Gill Sans MT" w:hAnsi="Gill Sans MT" w:cs="Gill Sans MT"/>
        </w:rPr>
        <w:t xml:space="preserve">collection </w:t>
      </w:r>
      <w:r w:rsidR="00D81B63" w:rsidRPr="00620BDA">
        <w:rPr>
          <w:rFonts w:ascii="Gill Sans MT" w:eastAsia="Gill Sans MT" w:hAnsi="Gill Sans MT" w:cs="Gill Sans MT"/>
        </w:rPr>
        <w:t xml:space="preserve">from </w:t>
      </w:r>
      <w:r w:rsidR="00FF16B1" w:rsidRPr="00620BDA">
        <w:rPr>
          <w:rFonts w:ascii="Gill Sans MT" w:eastAsia="Gill Sans MT" w:hAnsi="Gill Sans MT" w:cs="Gill Sans MT"/>
        </w:rPr>
        <w:t xml:space="preserve">south-eastern </w:t>
      </w:r>
      <w:r w:rsidR="00C00A31" w:rsidRPr="00620BDA">
        <w:rPr>
          <w:rFonts w:ascii="Gill Sans MT" w:eastAsia="Gill Sans MT" w:hAnsi="Gill Sans MT" w:cs="Gill Sans MT"/>
        </w:rPr>
        <w:t xml:space="preserve">Australia, being </w:t>
      </w:r>
      <w:r w:rsidR="004D38BD" w:rsidRPr="00620BDA">
        <w:rPr>
          <w:rFonts w:ascii="Gill Sans MT" w:eastAsia="Gill Sans MT" w:hAnsi="Gill Sans MT" w:cs="Gill Sans MT"/>
        </w:rPr>
        <w:t>one of the earliest ethnographic collections from Victoria and the Melbourne regio</w:t>
      </w:r>
      <w:r w:rsidR="009315E7" w:rsidRPr="00620BDA">
        <w:rPr>
          <w:rFonts w:ascii="Gill Sans MT" w:eastAsia="Gill Sans MT" w:hAnsi="Gill Sans MT" w:cs="Gill Sans MT"/>
        </w:rPr>
        <w:t xml:space="preserve">n. The collection was amassed by </w:t>
      </w:r>
      <w:r w:rsidR="004D38BD" w:rsidRPr="00620BDA">
        <w:rPr>
          <w:rFonts w:ascii="Gill Sans MT" w:eastAsia="Gill Sans MT" w:hAnsi="Gill Sans MT" w:cs="Gill Sans MT"/>
        </w:rPr>
        <w:t xml:space="preserve">John Helder Wedge, who was </w:t>
      </w:r>
      <w:r w:rsidR="00FF16B1" w:rsidRPr="00620BDA">
        <w:rPr>
          <w:rFonts w:ascii="Gill Sans MT" w:eastAsia="Gill Sans MT" w:hAnsi="Gill Sans MT" w:cs="Gill Sans MT"/>
        </w:rPr>
        <w:t>one of Victoria’s earliest colonists,</w:t>
      </w:r>
      <w:r w:rsidR="007B52F8" w:rsidRPr="00620BDA">
        <w:rPr>
          <w:rFonts w:ascii="Gill Sans MT" w:eastAsia="Gill Sans MT" w:hAnsi="Gill Sans MT" w:cs="Gill Sans MT"/>
        </w:rPr>
        <w:t xml:space="preserve"> as </w:t>
      </w:r>
      <w:r w:rsidR="00C00A31" w:rsidRPr="00620BDA">
        <w:rPr>
          <w:rFonts w:ascii="Gill Sans MT" w:eastAsia="Gill Sans MT" w:hAnsi="Gill Sans MT" w:cs="Gill Sans MT"/>
        </w:rPr>
        <w:t>the s</w:t>
      </w:r>
      <w:r w:rsidR="007B52F8" w:rsidRPr="00620BDA">
        <w:rPr>
          <w:rFonts w:ascii="Gill Sans MT" w:eastAsia="Gill Sans MT" w:hAnsi="Gill Sans MT" w:cs="Gill Sans MT"/>
        </w:rPr>
        <w:t>urveyor for the Port Phillip Association</w:t>
      </w:r>
      <w:r w:rsidR="006F0C2A" w:rsidRPr="00620BDA">
        <w:rPr>
          <w:rFonts w:ascii="Gill Sans MT" w:eastAsia="Gill Sans MT" w:hAnsi="Gill Sans MT" w:cs="Gill Sans MT"/>
        </w:rPr>
        <w:t>.</w:t>
      </w:r>
      <w:r w:rsidR="009315E7" w:rsidRPr="00620BDA">
        <w:rPr>
          <w:rFonts w:ascii="Gill Sans MT" w:eastAsia="Gill Sans MT" w:hAnsi="Gill Sans MT" w:cs="Gill Sans MT"/>
        </w:rPr>
        <w:t xml:space="preserve"> </w:t>
      </w:r>
      <w:r w:rsidR="002834A5" w:rsidRPr="00620BDA">
        <w:rPr>
          <w:rFonts w:ascii="Gill Sans MT" w:eastAsia="Gill Sans MT" w:hAnsi="Gill Sans MT" w:cs="Gill Sans MT"/>
        </w:rPr>
        <w:t xml:space="preserve">However, this </w:t>
      </w:r>
      <w:r w:rsidR="009315E7" w:rsidRPr="00620BDA">
        <w:rPr>
          <w:rFonts w:ascii="Gill Sans MT" w:eastAsia="Gill Sans MT" w:hAnsi="Gill Sans MT" w:cs="Gill Sans MT"/>
        </w:rPr>
        <w:t>omission is</w:t>
      </w:r>
      <w:r w:rsidR="002834A5" w:rsidRPr="00620BDA">
        <w:rPr>
          <w:rFonts w:ascii="Gill Sans MT" w:eastAsia="Gill Sans MT" w:hAnsi="Gill Sans MT" w:cs="Gill Sans MT"/>
        </w:rPr>
        <w:t xml:space="preserve"> a minor issue, and does not detract </w:t>
      </w:r>
      <w:r w:rsidR="00DA5D1F" w:rsidRPr="00620BDA">
        <w:rPr>
          <w:rFonts w:ascii="Gill Sans MT" w:eastAsia="Gill Sans MT" w:hAnsi="Gill Sans MT" w:cs="Gill Sans MT"/>
        </w:rPr>
        <w:t xml:space="preserve">from the overall significance of this book.  </w:t>
      </w:r>
      <w:r w:rsidR="00F54EEC" w:rsidRPr="00620BDA">
        <w:rPr>
          <w:rFonts w:ascii="Gill Sans MT" w:eastAsia="Gill Sans MT" w:hAnsi="Gill Sans MT" w:cs="Gill Sans MT"/>
        </w:rPr>
        <w:t xml:space="preserve"> </w:t>
      </w:r>
    </w:p>
    <w:p w14:paraId="7EA22EF9" w14:textId="6E29DF6A" w:rsidR="007169EC" w:rsidRPr="00620BDA" w:rsidRDefault="00D25780" w:rsidP="00620BDA">
      <w:pPr>
        <w:ind w:firstLine="720"/>
        <w:jc w:val="both"/>
        <w:rPr>
          <w:rFonts w:ascii="Gill Sans MT" w:eastAsia="Gill Sans MT" w:hAnsi="Gill Sans MT" w:cs="Gill Sans MT"/>
        </w:rPr>
      </w:pPr>
      <w:r w:rsidRPr="00620BDA">
        <w:rPr>
          <w:rFonts w:ascii="Gill Sans MT" w:eastAsia="Gill Sans MT" w:hAnsi="Gill Sans MT" w:cs="Gill Sans MT"/>
          <w:i/>
          <w:iCs/>
        </w:rPr>
        <w:t xml:space="preserve">Ancestors, artefacts, empire </w:t>
      </w:r>
      <w:r w:rsidR="00F54EEC" w:rsidRPr="00620BDA">
        <w:rPr>
          <w:rFonts w:ascii="Gill Sans MT" w:eastAsia="Gill Sans MT" w:hAnsi="Gill Sans MT" w:cs="Gill Sans MT"/>
        </w:rPr>
        <w:t xml:space="preserve">makes a valuable contribution </w:t>
      </w:r>
      <w:r w:rsidR="005276C1" w:rsidRPr="00620BDA">
        <w:rPr>
          <w:rFonts w:ascii="Gill Sans MT" w:eastAsia="Gill Sans MT" w:hAnsi="Gill Sans MT" w:cs="Gill Sans MT"/>
        </w:rPr>
        <w:t>to our understanding</w:t>
      </w:r>
      <w:r w:rsidR="004A061D" w:rsidRPr="00620BDA">
        <w:rPr>
          <w:rFonts w:ascii="Gill Sans MT" w:eastAsia="Gill Sans MT" w:hAnsi="Gill Sans MT" w:cs="Gill Sans MT"/>
        </w:rPr>
        <w:t>s</w:t>
      </w:r>
      <w:r w:rsidR="005276C1" w:rsidRPr="00620BDA">
        <w:rPr>
          <w:rFonts w:ascii="Gill Sans MT" w:eastAsia="Gill Sans MT" w:hAnsi="Gill Sans MT" w:cs="Gill Sans MT"/>
        </w:rPr>
        <w:t xml:space="preserve"> of </w:t>
      </w:r>
      <w:proofErr w:type="gramStart"/>
      <w:r w:rsidR="005276C1" w:rsidRPr="00620BDA">
        <w:rPr>
          <w:rFonts w:ascii="Gill Sans MT" w:eastAsia="Gill Sans MT" w:hAnsi="Gill Sans MT" w:cs="Gill Sans MT"/>
        </w:rPr>
        <w:t>Indigenous Australian museum</w:t>
      </w:r>
      <w:proofErr w:type="gramEnd"/>
      <w:r w:rsidR="005276C1" w:rsidRPr="00620BDA">
        <w:rPr>
          <w:rFonts w:ascii="Gill Sans MT" w:eastAsia="Gill Sans MT" w:hAnsi="Gill Sans MT" w:cs="Gill Sans MT"/>
        </w:rPr>
        <w:t xml:space="preserve"> collections</w:t>
      </w:r>
      <w:r w:rsidR="004A061D" w:rsidRPr="00620BDA">
        <w:rPr>
          <w:rFonts w:ascii="Gill Sans MT" w:eastAsia="Gill Sans MT" w:hAnsi="Gill Sans MT" w:cs="Gill Sans MT"/>
        </w:rPr>
        <w:t xml:space="preserve">, not only within the British Isles but </w:t>
      </w:r>
      <w:r w:rsidR="00C93CE3" w:rsidRPr="00620BDA">
        <w:rPr>
          <w:rFonts w:ascii="Gill Sans MT" w:eastAsia="Gill Sans MT" w:hAnsi="Gill Sans MT" w:cs="Gill Sans MT"/>
        </w:rPr>
        <w:t>globally</w:t>
      </w:r>
      <w:r w:rsidR="005276C1" w:rsidRPr="00620BDA">
        <w:rPr>
          <w:rFonts w:ascii="Gill Sans MT" w:eastAsia="Gill Sans MT" w:hAnsi="Gill Sans MT" w:cs="Gill Sans MT"/>
        </w:rPr>
        <w:t xml:space="preserve">. This work will no doubt spark a wave of new research, discussion, and interaction with Indigenous Australian collections currently found </w:t>
      </w:r>
      <w:r w:rsidR="007922D7" w:rsidRPr="00620BDA">
        <w:rPr>
          <w:rFonts w:ascii="Gill Sans MT" w:eastAsia="Gill Sans MT" w:hAnsi="Gill Sans MT" w:cs="Gill Sans MT"/>
        </w:rPr>
        <w:t>dispersed across</w:t>
      </w:r>
      <w:r w:rsidR="005276C1" w:rsidRPr="00620BDA">
        <w:rPr>
          <w:rFonts w:ascii="Gill Sans MT" w:eastAsia="Gill Sans MT" w:hAnsi="Gill Sans MT" w:cs="Gill Sans MT"/>
        </w:rPr>
        <w:t xml:space="preserve"> </w:t>
      </w:r>
      <w:r w:rsidR="00F814C6" w:rsidRPr="00620BDA">
        <w:rPr>
          <w:rFonts w:ascii="Gill Sans MT" w:eastAsia="Gill Sans MT" w:hAnsi="Gill Sans MT" w:cs="Gill Sans MT"/>
        </w:rPr>
        <w:t xml:space="preserve">Great Britain </w:t>
      </w:r>
      <w:r w:rsidR="005276C1" w:rsidRPr="00620BDA">
        <w:rPr>
          <w:rFonts w:ascii="Gill Sans MT" w:eastAsia="Gill Sans MT" w:hAnsi="Gill Sans MT" w:cs="Gill Sans MT"/>
        </w:rPr>
        <w:t xml:space="preserve">and Ireland. </w:t>
      </w:r>
      <w:r w:rsidRPr="00620BDA">
        <w:rPr>
          <w:rFonts w:ascii="Gill Sans MT" w:eastAsia="Gill Sans MT" w:hAnsi="Gill Sans MT" w:cs="Gill Sans MT"/>
        </w:rPr>
        <w:t xml:space="preserve"> </w:t>
      </w:r>
      <w:r w:rsidR="00583665" w:rsidRPr="00620BDA">
        <w:rPr>
          <w:rFonts w:ascii="Gill Sans MT" w:eastAsia="Gill Sans MT" w:hAnsi="Gill Sans MT" w:cs="Gill Sans MT"/>
        </w:rPr>
        <w:t xml:space="preserve"> </w:t>
      </w:r>
    </w:p>
    <w:p w14:paraId="1CBE84F4" w14:textId="77777777" w:rsidR="00A7487B" w:rsidRPr="00A7487B" w:rsidRDefault="00A7487B" w:rsidP="00A7487B">
      <w:pPr>
        <w:rPr>
          <w:rFonts w:ascii="Gill Sans MT" w:hAnsi="Gill Sans MT"/>
          <w:kern w:val="2"/>
          <w:lang w:val="en-IN"/>
          <w14:ligatures w14:val="standardContextual"/>
        </w:rPr>
      </w:pPr>
    </w:p>
    <w:p w14:paraId="53FF3C50" w14:textId="77777777" w:rsidR="00A7487B" w:rsidRPr="00A7487B" w:rsidRDefault="00A7487B" w:rsidP="00A7487B">
      <w:pPr>
        <w:rPr>
          <w:rFonts w:ascii="Gill Sans MT" w:hAnsi="Gill Sans MT"/>
          <w:kern w:val="2"/>
          <w:lang w:val="en-IN"/>
          <w14:ligatures w14:val="standardContextual"/>
        </w:rPr>
      </w:pPr>
      <w:r w:rsidRPr="00A7487B">
        <w:rPr>
          <w:rFonts w:ascii="Gill Sans MT" w:hAnsi="Gill Sans MT"/>
          <w:noProof/>
          <w:kern w:val="2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30BCF" wp14:editId="0488EA55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5974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9B3E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.7pt" to="46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" strokecolor="#4472c4" strokeweight=".5pt">
                <v:stroke joinstyle="miter"/>
              </v:line>
            </w:pict>
          </mc:Fallback>
        </mc:AlternateContent>
      </w:r>
    </w:p>
    <w:p w14:paraId="01B9A155" w14:textId="77777777" w:rsidR="00A7487B" w:rsidRPr="00A7487B" w:rsidRDefault="00A7487B" w:rsidP="00A7487B">
      <w:pPr>
        <w:jc w:val="both"/>
        <w:rPr>
          <w:rFonts w:ascii="Gill Sans MT" w:hAnsi="Gill Sans MT" w:cs="Times New Roman"/>
          <w:kern w:val="2"/>
          <w:lang w:val="en-GB"/>
          <w14:ligatures w14:val="standardContextual"/>
        </w:rPr>
      </w:pPr>
    </w:p>
    <w:p w14:paraId="496EEC4E" w14:textId="77777777" w:rsidR="00A7487B" w:rsidRPr="00A7487B" w:rsidRDefault="00A7487B" w:rsidP="00A7487B">
      <w:pPr>
        <w:jc w:val="both"/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</w:pPr>
      <w:r w:rsidRPr="00A7487B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 xml:space="preserve">This work is copyright of the author. </w:t>
      </w:r>
    </w:p>
    <w:p w14:paraId="3F6C4F8B" w14:textId="77777777" w:rsidR="00A7487B" w:rsidRPr="00A7487B" w:rsidRDefault="00A7487B" w:rsidP="00A7487B">
      <w:pPr>
        <w:jc w:val="both"/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</w:pPr>
    </w:p>
    <w:p w14:paraId="393464DC" w14:textId="77777777" w:rsidR="00A7487B" w:rsidRPr="00A7487B" w:rsidRDefault="00A7487B" w:rsidP="00A7487B">
      <w:pPr>
        <w:jc w:val="both"/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</w:pPr>
      <w:r w:rsidRPr="00A7487B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>It has been published by JASO under a Creative Commons Attribution-</w:t>
      </w:r>
      <w:proofErr w:type="spellStart"/>
      <w:r w:rsidRPr="00A7487B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>NonCommercial</w:t>
      </w:r>
      <w:proofErr w:type="spellEnd"/>
      <w:r w:rsidRPr="00A7487B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>-</w:t>
      </w:r>
      <w:proofErr w:type="spellStart"/>
      <w:r w:rsidRPr="00A7487B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>ShareAlike</w:t>
      </w:r>
      <w:proofErr w:type="spellEnd"/>
      <w:r w:rsidRPr="00A7487B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 xml:space="preserve"> License </w:t>
      </w:r>
      <w:r w:rsidRPr="00A7487B">
        <w:rPr>
          <w:rFonts w:ascii="Gill Sans MT" w:eastAsia="Gill Sans MT" w:hAnsi="Gill Sans MT" w:cs="Gill Sans MT"/>
          <w:color w:val="000000" w:themeColor="text1"/>
          <w:kern w:val="2"/>
          <w:lang w:val="en-US"/>
          <w14:ligatures w14:val="standardContextual"/>
        </w:rPr>
        <w:t xml:space="preserve">(CC BY NC 4.0) that allows others to share the work with an acknowledgement of the work's authorship and initial publication in this journal as long as it is non-commercial and that those using the work must agree to distribute it under the same license as the original. </w:t>
      </w:r>
      <w:hyperlink r:id="rId8">
        <w:r w:rsidRPr="00A7487B">
          <w:rPr>
            <w:rFonts w:ascii="Gill Sans MT" w:eastAsia="Gill Sans MT" w:hAnsi="Gill Sans MT" w:cs="Gill Sans MT"/>
            <w:color w:val="0563C1" w:themeColor="hyperlink"/>
            <w:kern w:val="2"/>
            <w:u w:val="single"/>
            <w:lang w:val="en-US"/>
            <w14:ligatures w14:val="standardContextual"/>
          </w:rPr>
          <w:t>http://creativecommons.org/licenses/by/4.0/</w:t>
        </w:r>
      </w:hyperlink>
      <w:r w:rsidRPr="00A7487B">
        <w:rPr>
          <w:rFonts w:ascii="Gill Sans MT" w:eastAsia="Gill Sans MT" w:hAnsi="Gill Sans MT" w:cs="Gill Sans MT"/>
          <w:color w:val="000000" w:themeColor="text1"/>
          <w:kern w:val="2"/>
          <w:lang w:val="en-US"/>
          <w14:ligatures w14:val="standardContextual"/>
        </w:rPr>
        <w:t>)</w:t>
      </w:r>
    </w:p>
    <w:p w14:paraId="2A0E0BD6" w14:textId="77777777" w:rsidR="00A7487B" w:rsidRPr="00A7487B" w:rsidRDefault="00A7487B" w:rsidP="00A7487B">
      <w:pPr>
        <w:rPr>
          <w:rFonts w:ascii="Gill Sans MT" w:hAnsi="Gill Sans MT"/>
          <w:kern w:val="2"/>
          <w:lang w:val="en-US"/>
          <w14:ligatures w14:val="standardContextual"/>
        </w:rPr>
      </w:pPr>
    </w:p>
    <w:p w14:paraId="77E8E841" w14:textId="77777777" w:rsidR="00A7487B" w:rsidRPr="00A7487B" w:rsidRDefault="00A7487B" w:rsidP="00A7487B">
      <w:pPr>
        <w:jc w:val="center"/>
        <w:rPr>
          <w:rFonts w:ascii="Gill Sans MT" w:hAnsi="Gill Sans MT"/>
          <w:kern w:val="2"/>
          <w:lang w:val="en-IN"/>
          <w14:ligatures w14:val="standardContextual"/>
        </w:rPr>
      </w:pPr>
      <w:r w:rsidRPr="00A7487B">
        <w:rPr>
          <w:rFonts w:ascii="Gill Sans MT" w:eastAsia="MS Mincho" w:hAnsi="Gill Sans MT"/>
          <w:noProof/>
          <w:kern w:val="2"/>
          <w:lang w:val="en-US"/>
          <w14:ligatures w14:val="standardContextual"/>
        </w:rPr>
        <w:drawing>
          <wp:inline distT="0" distB="0" distL="0" distR="0" wp14:anchorId="13926219" wp14:editId="71CA1ACB">
            <wp:extent cx="1119505" cy="391795"/>
            <wp:effectExtent l="0" t="0" r="0" b="0"/>
            <wp:docPr id="1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29B9" w14:textId="1244F6C0" w:rsidR="009268DD" w:rsidRPr="00620BDA" w:rsidRDefault="009268DD" w:rsidP="00620BDA">
      <w:pPr>
        <w:rPr>
          <w:rFonts w:ascii="Gill Sans MT" w:hAnsi="Gill Sans MT"/>
        </w:rPr>
      </w:pPr>
    </w:p>
    <w:sectPr w:rsidR="009268DD" w:rsidRPr="00620BDA" w:rsidSect="000F3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fmt="numberInDash" w:start="2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69A8" w14:textId="77777777" w:rsidR="004C0476" w:rsidRDefault="004C0476">
      <w:r>
        <w:separator/>
      </w:r>
    </w:p>
  </w:endnote>
  <w:endnote w:type="continuationSeparator" w:id="0">
    <w:p w14:paraId="4C9EDBAF" w14:textId="77777777" w:rsidR="004C0476" w:rsidRDefault="004C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165F" w14:textId="77777777" w:rsidR="008737E1" w:rsidRDefault="00873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kern w:val="2"/>
        <w:lang w:val="en-IN"/>
        <w14:ligatures w14:val="standardContextual"/>
      </w:rPr>
      <w:id w:val="386232728"/>
      <w:docPartObj>
        <w:docPartGallery w:val="Page Numbers (Bottom of Page)"/>
        <w:docPartUnique/>
      </w:docPartObj>
    </w:sdtPr>
    <w:sdtContent>
      <w:p w14:paraId="5A830F51" w14:textId="77777777" w:rsidR="00A7487B" w:rsidRPr="00A7487B" w:rsidRDefault="00A7487B" w:rsidP="00A7487B">
        <w:pPr>
          <w:framePr w:wrap="none" w:vAnchor="text" w:hAnchor="margin" w:xAlign="right" w:y="1"/>
          <w:tabs>
            <w:tab w:val="center" w:pos="4513"/>
            <w:tab w:val="right" w:pos="9026"/>
          </w:tabs>
          <w:rPr>
            <w:rFonts w:ascii="Gill Sans MT" w:hAnsi="Gill Sans MT"/>
            <w:kern w:val="2"/>
            <w:lang w:val="en-IN"/>
            <w14:ligatures w14:val="standardContextual"/>
          </w:rPr>
        </w:pPr>
        <w:r w:rsidRPr="00A7487B">
          <w:rPr>
            <w:rFonts w:ascii="Gill Sans MT" w:hAnsi="Gill Sans MT"/>
            <w:kern w:val="2"/>
            <w:lang w:val="en-IN"/>
            <w14:ligatures w14:val="standardContextual"/>
          </w:rPr>
          <w:fldChar w:fldCharType="begin"/>
        </w:r>
        <w:r w:rsidRPr="00A7487B">
          <w:rPr>
            <w:rFonts w:ascii="Gill Sans MT" w:hAnsi="Gill Sans MT"/>
            <w:kern w:val="2"/>
            <w:lang w:val="en-IN"/>
            <w14:ligatures w14:val="standardContextual"/>
          </w:rPr>
          <w:instrText xml:space="preserve"> PAGE </w:instrText>
        </w:r>
        <w:r w:rsidRPr="00A7487B">
          <w:rPr>
            <w:rFonts w:ascii="Gill Sans MT" w:hAnsi="Gill Sans MT"/>
            <w:kern w:val="2"/>
            <w:lang w:val="en-IN"/>
            <w14:ligatures w14:val="standardContextual"/>
          </w:rPr>
          <w:fldChar w:fldCharType="separate"/>
        </w:r>
        <w:r w:rsidRPr="00A7487B">
          <w:rPr>
            <w:rFonts w:ascii="Gill Sans MT" w:hAnsi="Gill Sans MT"/>
            <w:kern w:val="2"/>
            <w:lang w:val="en-IN"/>
            <w14:ligatures w14:val="standardContextual"/>
          </w:rPr>
          <w:t>- 2 -</w:t>
        </w:r>
        <w:r w:rsidRPr="00A7487B">
          <w:rPr>
            <w:rFonts w:ascii="Gill Sans MT" w:hAnsi="Gill Sans MT"/>
            <w:kern w:val="2"/>
            <w:lang w:val="en-IN"/>
            <w14:ligatures w14:val="standardContextual"/>
          </w:rPr>
          <w:fldChar w:fldCharType="end"/>
        </w:r>
      </w:p>
    </w:sdtContent>
  </w:sdt>
  <w:p w14:paraId="38074F47" w14:textId="6BBD9EBB" w:rsidR="00A7487B" w:rsidRPr="00A7487B" w:rsidRDefault="00A7487B" w:rsidP="00A7487B">
    <w:pPr>
      <w:tabs>
        <w:tab w:val="center" w:pos="4513"/>
        <w:tab w:val="right" w:pos="9026"/>
      </w:tabs>
      <w:ind w:right="360"/>
      <w:rPr>
        <w:rFonts w:ascii="Gill Sans MT" w:hAnsi="Gill Sans MT" w:cstheme="majorBidi"/>
        <w:kern w:val="2"/>
        <w:lang w:val="en-IN"/>
        <w14:ligatures w14:val="standardContextual"/>
      </w:rPr>
    </w:pPr>
    <w:r w:rsidRPr="00A7487B">
      <w:rPr>
        <w:rFonts w:ascii="Gill Sans MT" w:hAnsi="Gill Sans MT"/>
        <w:kern w:val="2"/>
        <w:lang w:val="en-IN"/>
        <w14:ligatures w14:val="standardContextual"/>
      </w:rPr>
      <w:t>JASO</w:t>
    </w:r>
    <w:r w:rsidRPr="00A7487B">
      <w:rPr>
        <w:rFonts w:ascii="Gill Sans MT" w:hAnsi="Gill Sans MT" w:cstheme="majorBidi"/>
        <w:kern w:val="2"/>
        <w:lang w:val="en-IN"/>
        <w14:ligatures w14:val="standardContextual"/>
      </w:rPr>
      <w:t xml:space="preserve"> </w:t>
    </w:r>
    <w:r w:rsidRPr="00A7487B">
      <w:rPr>
        <w:rFonts w:ascii="Gill Sans MT" w:hAnsi="Gill Sans MT" w:cstheme="majorBidi"/>
        <w:color w:val="444444"/>
        <w:kern w:val="2"/>
        <w:shd w:val="clear" w:color="auto" w:fill="FFFFFF"/>
        <w:lang w:val="en-IN"/>
        <w14:ligatures w14:val="standardContextual"/>
      </w:rPr>
      <w:t>ISSN: 2040-1876 Vol XV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B309" w14:textId="77777777" w:rsidR="008737E1" w:rsidRDefault="00873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D345" w14:textId="77777777" w:rsidR="004C0476" w:rsidRDefault="004C0476">
      <w:r>
        <w:separator/>
      </w:r>
    </w:p>
  </w:footnote>
  <w:footnote w:type="continuationSeparator" w:id="0">
    <w:p w14:paraId="11AF611F" w14:textId="77777777" w:rsidR="004C0476" w:rsidRDefault="004C0476">
      <w:r>
        <w:continuationSeparator/>
      </w:r>
    </w:p>
  </w:footnote>
  <w:footnote w:id="1">
    <w:p w14:paraId="43D9519B" w14:textId="4454E7F0" w:rsidR="0228D800" w:rsidRPr="00861F47" w:rsidRDefault="0228D800" w:rsidP="00861F47">
      <w:pPr>
        <w:jc w:val="both"/>
        <w:rPr>
          <w:rFonts w:ascii="Gill Sans MT" w:hAnsi="Gill Sans MT" w:cs="Times New Roman"/>
          <w:color w:val="444746"/>
          <w:sz w:val="20"/>
          <w:szCs w:val="20"/>
        </w:rPr>
      </w:pPr>
      <w:r w:rsidRPr="00861F47">
        <w:rPr>
          <w:rStyle w:val="FootnoteReference"/>
          <w:rFonts w:ascii="Gill Sans MT" w:hAnsi="Gill Sans MT"/>
          <w:sz w:val="20"/>
          <w:szCs w:val="20"/>
        </w:rPr>
        <w:footnoteRef/>
      </w:r>
      <w:r w:rsidRPr="00861F47">
        <w:rPr>
          <w:rFonts w:ascii="Gill Sans MT" w:hAnsi="Gill Sans MT"/>
          <w:sz w:val="20"/>
          <w:szCs w:val="20"/>
        </w:rPr>
        <w:t xml:space="preserve"> </w:t>
      </w:r>
      <w:r w:rsidRPr="00861F47">
        <w:rPr>
          <w:rFonts w:ascii="Gill Sans MT" w:hAnsi="Gill Sans MT" w:cs="Times New Roman"/>
          <w:sz w:val="20"/>
          <w:szCs w:val="20"/>
        </w:rPr>
        <w:t>PhD Candidate in the Indigenous Studies Program, School of Culture and Communication, University of Melbourne. Email</w:t>
      </w:r>
      <w:r w:rsidR="00861F47">
        <w:rPr>
          <w:rFonts w:ascii="Gill Sans MT" w:hAnsi="Gill Sans MT" w:cs="Times New Roman"/>
          <w:sz w:val="20"/>
          <w:szCs w:val="20"/>
        </w:rPr>
        <w:t>:</w:t>
      </w:r>
      <w:r w:rsidRPr="00861F47">
        <w:rPr>
          <w:rFonts w:ascii="Gill Sans MT" w:hAnsi="Gill Sans MT" w:cs="Times New Roman"/>
          <w:sz w:val="20"/>
          <w:szCs w:val="20"/>
        </w:rPr>
        <w:t xml:space="preserve"> </w:t>
      </w:r>
      <w:hyperlink r:id="rId1">
        <w:r w:rsidRPr="00861F47">
          <w:rPr>
            <w:rStyle w:val="Hyperlink"/>
            <w:rFonts w:ascii="Gill Sans MT" w:hAnsi="Gill Sans MT" w:cs="Times New Roman"/>
            <w:sz w:val="20"/>
            <w:szCs w:val="20"/>
          </w:rPr>
          <w:t>jtnorris@student.unimelb.edu.au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6D1C" w14:textId="77777777" w:rsidR="008737E1" w:rsidRDefault="00873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19C5" w14:textId="4BFDAA25" w:rsidR="008737E1" w:rsidRPr="008737E1" w:rsidRDefault="008737E1" w:rsidP="008737E1">
    <w:pPr>
      <w:pStyle w:val="Header"/>
      <w:jc w:val="right"/>
      <w:rPr>
        <w:rFonts w:ascii="Gill Sans MT" w:hAnsi="Gill Sans MT"/>
        <w:i/>
        <w:iCs/>
        <w:lang w:val="fr-CA"/>
      </w:rPr>
    </w:pPr>
    <w:r w:rsidRPr="00643A5C">
      <w:rPr>
        <w:rFonts w:ascii="Gill Sans MT" w:hAnsi="Gill Sans MT"/>
        <w:i/>
        <w:iCs/>
        <w:lang w:val="fr-CA"/>
      </w:rPr>
      <w:t xml:space="preserve">Book </w:t>
    </w:r>
    <w:proofErr w:type="spellStart"/>
    <w:r w:rsidRPr="00643A5C">
      <w:rPr>
        <w:rFonts w:ascii="Gill Sans MT" w:hAnsi="Gill Sans MT"/>
        <w:i/>
        <w:iCs/>
        <w:lang w:val="fr-CA"/>
      </w:rPr>
      <w:t>reviews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D2AE" w14:textId="77777777" w:rsidR="008737E1" w:rsidRDefault="00873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EB"/>
    <w:rsid w:val="00020EEB"/>
    <w:rsid w:val="00040C87"/>
    <w:rsid w:val="00042F6A"/>
    <w:rsid w:val="000641F9"/>
    <w:rsid w:val="000A7A10"/>
    <w:rsid w:val="000C4F72"/>
    <w:rsid w:val="000F30D6"/>
    <w:rsid w:val="00102198"/>
    <w:rsid w:val="001135B6"/>
    <w:rsid w:val="001360AD"/>
    <w:rsid w:val="00153896"/>
    <w:rsid w:val="00173918"/>
    <w:rsid w:val="0018304A"/>
    <w:rsid w:val="001A1D4C"/>
    <w:rsid w:val="001D2734"/>
    <w:rsid w:val="001D7286"/>
    <w:rsid w:val="001E1881"/>
    <w:rsid w:val="001F57C1"/>
    <w:rsid w:val="00214CAB"/>
    <w:rsid w:val="00240EE3"/>
    <w:rsid w:val="00247912"/>
    <w:rsid w:val="002834A5"/>
    <w:rsid w:val="002930FA"/>
    <w:rsid w:val="002C49D0"/>
    <w:rsid w:val="003017DA"/>
    <w:rsid w:val="00307FE3"/>
    <w:rsid w:val="003111C2"/>
    <w:rsid w:val="00344BCA"/>
    <w:rsid w:val="00362110"/>
    <w:rsid w:val="00366FEB"/>
    <w:rsid w:val="0037175B"/>
    <w:rsid w:val="003737C3"/>
    <w:rsid w:val="003D358E"/>
    <w:rsid w:val="003E36DB"/>
    <w:rsid w:val="003F1928"/>
    <w:rsid w:val="004040A2"/>
    <w:rsid w:val="004052EB"/>
    <w:rsid w:val="00441C3C"/>
    <w:rsid w:val="00475FBF"/>
    <w:rsid w:val="004A061D"/>
    <w:rsid w:val="004A7230"/>
    <w:rsid w:val="004C0476"/>
    <w:rsid w:val="004C2EB9"/>
    <w:rsid w:val="004D38BD"/>
    <w:rsid w:val="004E22E6"/>
    <w:rsid w:val="004E25A3"/>
    <w:rsid w:val="004E2E1E"/>
    <w:rsid w:val="004F4ADE"/>
    <w:rsid w:val="004F6266"/>
    <w:rsid w:val="00503AF8"/>
    <w:rsid w:val="005276C1"/>
    <w:rsid w:val="00527E24"/>
    <w:rsid w:val="00544AD8"/>
    <w:rsid w:val="00562A1C"/>
    <w:rsid w:val="00583665"/>
    <w:rsid w:val="005A201B"/>
    <w:rsid w:val="005B4CCB"/>
    <w:rsid w:val="005C6F1F"/>
    <w:rsid w:val="005E5121"/>
    <w:rsid w:val="00620BDA"/>
    <w:rsid w:val="00620E1C"/>
    <w:rsid w:val="0062179D"/>
    <w:rsid w:val="00621EAF"/>
    <w:rsid w:val="00634611"/>
    <w:rsid w:val="00636BEE"/>
    <w:rsid w:val="00644DE6"/>
    <w:rsid w:val="006702E8"/>
    <w:rsid w:val="00681592"/>
    <w:rsid w:val="0069209F"/>
    <w:rsid w:val="006925A3"/>
    <w:rsid w:val="00697D21"/>
    <w:rsid w:val="006A0D16"/>
    <w:rsid w:val="006B2992"/>
    <w:rsid w:val="006C1F9B"/>
    <w:rsid w:val="006D30DE"/>
    <w:rsid w:val="006F0C2A"/>
    <w:rsid w:val="006F4530"/>
    <w:rsid w:val="006F6D24"/>
    <w:rsid w:val="007065AB"/>
    <w:rsid w:val="007169EC"/>
    <w:rsid w:val="00752FEC"/>
    <w:rsid w:val="00776F24"/>
    <w:rsid w:val="00777268"/>
    <w:rsid w:val="00781993"/>
    <w:rsid w:val="00783D13"/>
    <w:rsid w:val="007870F2"/>
    <w:rsid w:val="00791B45"/>
    <w:rsid w:val="007922D7"/>
    <w:rsid w:val="00793FA2"/>
    <w:rsid w:val="007A27AC"/>
    <w:rsid w:val="007A7D20"/>
    <w:rsid w:val="007B52F8"/>
    <w:rsid w:val="007C223B"/>
    <w:rsid w:val="007D748F"/>
    <w:rsid w:val="0083079D"/>
    <w:rsid w:val="008477AE"/>
    <w:rsid w:val="0085166D"/>
    <w:rsid w:val="00861F47"/>
    <w:rsid w:val="0087214F"/>
    <w:rsid w:val="008737E1"/>
    <w:rsid w:val="00895B98"/>
    <w:rsid w:val="008A5D0F"/>
    <w:rsid w:val="008D2745"/>
    <w:rsid w:val="008D3295"/>
    <w:rsid w:val="008E7880"/>
    <w:rsid w:val="008F0414"/>
    <w:rsid w:val="008F1915"/>
    <w:rsid w:val="009268DD"/>
    <w:rsid w:val="009315E7"/>
    <w:rsid w:val="0094193B"/>
    <w:rsid w:val="0094511E"/>
    <w:rsid w:val="009468BE"/>
    <w:rsid w:val="009602EC"/>
    <w:rsid w:val="009812EC"/>
    <w:rsid w:val="00996FBA"/>
    <w:rsid w:val="009D6423"/>
    <w:rsid w:val="009E3BB6"/>
    <w:rsid w:val="00A23D91"/>
    <w:rsid w:val="00A23DEB"/>
    <w:rsid w:val="00A35123"/>
    <w:rsid w:val="00A453DF"/>
    <w:rsid w:val="00A64E13"/>
    <w:rsid w:val="00A65D2D"/>
    <w:rsid w:val="00A7487B"/>
    <w:rsid w:val="00A86F68"/>
    <w:rsid w:val="00A91B56"/>
    <w:rsid w:val="00A94854"/>
    <w:rsid w:val="00AB6259"/>
    <w:rsid w:val="00AC23CB"/>
    <w:rsid w:val="00AE35C9"/>
    <w:rsid w:val="00AE6289"/>
    <w:rsid w:val="00AF0D8D"/>
    <w:rsid w:val="00AF5BDF"/>
    <w:rsid w:val="00B16EAF"/>
    <w:rsid w:val="00B24D48"/>
    <w:rsid w:val="00B2647A"/>
    <w:rsid w:val="00B37122"/>
    <w:rsid w:val="00B455B4"/>
    <w:rsid w:val="00B461BC"/>
    <w:rsid w:val="00B511FA"/>
    <w:rsid w:val="00B51B84"/>
    <w:rsid w:val="00B67BF7"/>
    <w:rsid w:val="00B72506"/>
    <w:rsid w:val="00B74099"/>
    <w:rsid w:val="00B832A9"/>
    <w:rsid w:val="00B95A15"/>
    <w:rsid w:val="00BA4987"/>
    <w:rsid w:val="00BB4C42"/>
    <w:rsid w:val="00BC45AA"/>
    <w:rsid w:val="00BF0804"/>
    <w:rsid w:val="00BF4DE9"/>
    <w:rsid w:val="00C00A31"/>
    <w:rsid w:val="00C0319B"/>
    <w:rsid w:val="00C32253"/>
    <w:rsid w:val="00C66B7C"/>
    <w:rsid w:val="00C75559"/>
    <w:rsid w:val="00C93CE3"/>
    <w:rsid w:val="00C973EF"/>
    <w:rsid w:val="00CB3FC6"/>
    <w:rsid w:val="00CD2D78"/>
    <w:rsid w:val="00CE29AF"/>
    <w:rsid w:val="00D00533"/>
    <w:rsid w:val="00D03A6F"/>
    <w:rsid w:val="00D25780"/>
    <w:rsid w:val="00D71C88"/>
    <w:rsid w:val="00D7675E"/>
    <w:rsid w:val="00D81B63"/>
    <w:rsid w:val="00D93D9F"/>
    <w:rsid w:val="00DA5D1F"/>
    <w:rsid w:val="00DA6A9D"/>
    <w:rsid w:val="00DB221E"/>
    <w:rsid w:val="00DC02CE"/>
    <w:rsid w:val="00DD0B69"/>
    <w:rsid w:val="00DF00D8"/>
    <w:rsid w:val="00E0292E"/>
    <w:rsid w:val="00E05F3A"/>
    <w:rsid w:val="00E12035"/>
    <w:rsid w:val="00E17020"/>
    <w:rsid w:val="00E17076"/>
    <w:rsid w:val="00E54C72"/>
    <w:rsid w:val="00E65C5D"/>
    <w:rsid w:val="00E72B9C"/>
    <w:rsid w:val="00E978EA"/>
    <w:rsid w:val="00EB0BB8"/>
    <w:rsid w:val="00F042C4"/>
    <w:rsid w:val="00F16C1A"/>
    <w:rsid w:val="00F17BCD"/>
    <w:rsid w:val="00F257AC"/>
    <w:rsid w:val="00F411E0"/>
    <w:rsid w:val="00F41895"/>
    <w:rsid w:val="00F54EEC"/>
    <w:rsid w:val="00F814C6"/>
    <w:rsid w:val="00F86F82"/>
    <w:rsid w:val="00FC46BA"/>
    <w:rsid w:val="00FC57BB"/>
    <w:rsid w:val="00FD000A"/>
    <w:rsid w:val="00FF16B1"/>
    <w:rsid w:val="0228D800"/>
    <w:rsid w:val="02BAC219"/>
    <w:rsid w:val="02EE2D1F"/>
    <w:rsid w:val="05F262DB"/>
    <w:rsid w:val="0A50858E"/>
    <w:rsid w:val="0ADC346A"/>
    <w:rsid w:val="0AFA5964"/>
    <w:rsid w:val="0B911D46"/>
    <w:rsid w:val="0C36C782"/>
    <w:rsid w:val="129A356E"/>
    <w:rsid w:val="12C732F0"/>
    <w:rsid w:val="187EF19C"/>
    <w:rsid w:val="1BE5D641"/>
    <w:rsid w:val="1D25BC92"/>
    <w:rsid w:val="1D4B71D8"/>
    <w:rsid w:val="1FB6C033"/>
    <w:rsid w:val="208A0381"/>
    <w:rsid w:val="21A56494"/>
    <w:rsid w:val="22169149"/>
    <w:rsid w:val="2307F65C"/>
    <w:rsid w:val="24B462C3"/>
    <w:rsid w:val="25992475"/>
    <w:rsid w:val="28313056"/>
    <w:rsid w:val="28F205C2"/>
    <w:rsid w:val="29E55A2A"/>
    <w:rsid w:val="2C107E27"/>
    <w:rsid w:val="318FF8C7"/>
    <w:rsid w:val="3266513D"/>
    <w:rsid w:val="32CDE989"/>
    <w:rsid w:val="35AC19E3"/>
    <w:rsid w:val="364E3304"/>
    <w:rsid w:val="3918F584"/>
    <w:rsid w:val="39DED2AB"/>
    <w:rsid w:val="3EA031D1"/>
    <w:rsid w:val="3F663039"/>
    <w:rsid w:val="43301283"/>
    <w:rsid w:val="481825C7"/>
    <w:rsid w:val="4B3BC400"/>
    <w:rsid w:val="504F0113"/>
    <w:rsid w:val="51DF8AEA"/>
    <w:rsid w:val="51EAD174"/>
    <w:rsid w:val="5859CA54"/>
    <w:rsid w:val="5C45AABD"/>
    <w:rsid w:val="5ED14202"/>
    <w:rsid w:val="606D1263"/>
    <w:rsid w:val="6111DB01"/>
    <w:rsid w:val="634E3FD9"/>
    <w:rsid w:val="63A4B325"/>
    <w:rsid w:val="6899A86F"/>
    <w:rsid w:val="6A9B84A7"/>
    <w:rsid w:val="6C2D6F44"/>
    <w:rsid w:val="6D0F8956"/>
    <w:rsid w:val="6E46A015"/>
    <w:rsid w:val="7028435D"/>
    <w:rsid w:val="77C02D8E"/>
    <w:rsid w:val="782CA35F"/>
    <w:rsid w:val="79C1D9B4"/>
    <w:rsid w:val="79DF9A37"/>
    <w:rsid w:val="7A534E67"/>
    <w:rsid w:val="7A74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7052"/>
  <w15:docId w15:val="{6DDE2908-FCDD-5E4A-B2C9-C2A046F7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F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4AD8"/>
  </w:style>
  <w:style w:type="character" w:styleId="FollowedHyperlink">
    <w:name w:val="FollowedHyperlink"/>
    <w:basedOn w:val="DefaultParagraphFont"/>
    <w:uiPriority w:val="99"/>
    <w:semiHidden/>
    <w:unhideWhenUsed/>
    <w:rsid w:val="00366FE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4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87B"/>
  </w:style>
  <w:style w:type="paragraph" w:styleId="Footer">
    <w:name w:val="footer"/>
    <w:basedOn w:val="Normal"/>
    <w:link w:val="FooterChar"/>
    <w:uiPriority w:val="99"/>
    <w:unhideWhenUsed/>
    <w:rsid w:val="00A74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tnorris@student.unimelb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9D09-ECBD-49FA-8672-D11C9503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jacknorris1066@gmail.com</dc:creator>
  <cp:keywords/>
  <dc:description/>
  <cp:lastModifiedBy>Chihab El Khachab</cp:lastModifiedBy>
  <cp:revision>20</cp:revision>
  <dcterms:created xsi:type="dcterms:W3CDTF">2022-04-08T11:37:00Z</dcterms:created>
  <dcterms:modified xsi:type="dcterms:W3CDTF">2023-12-12T01:23:00Z</dcterms:modified>
</cp:coreProperties>
</file>